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83" w:rsidRPr="004614CC" w:rsidRDefault="0084045D" w:rsidP="00846783">
      <w:pPr>
        <w:pStyle w:val="Heading1"/>
        <w:spacing w:before="0" w:after="120" w:line="276" w:lineRule="auto"/>
        <w:rPr>
          <w:b w:val="0"/>
          <w:color w:val="000000" w:themeColor="text1"/>
          <w:sz w:val="34"/>
          <w:szCs w:val="34"/>
        </w:rPr>
      </w:pPr>
      <w:r w:rsidRPr="004614CC">
        <w:rPr>
          <w:b w:val="0"/>
          <w:color w:val="000000" w:themeColor="text1"/>
          <w:sz w:val="34"/>
          <w:szCs w:val="34"/>
        </w:rPr>
        <w:t>LOCAL PENSIONS PARTNERSHIP INVESTMENTS LIMITED</w:t>
      </w:r>
    </w:p>
    <w:p w:rsidR="00846783" w:rsidRPr="004614CC" w:rsidRDefault="0084045D" w:rsidP="00846783">
      <w:pPr>
        <w:rPr>
          <w:rFonts w:ascii="Arial" w:hAnsi="Arial" w:cs="Arial"/>
          <w:bCs/>
          <w:iCs/>
          <w:color w:val="000000" w:themeColor="text1"/>
        </w:rPr>
      </w:pPr>
      <w:r w:rsidRPr="004614CC">
        <w:rPr>
          <w:rFonts w:ascii="Arial" w:hAnsi="Arial" w:cs="Arial"/>
          <w:bCs/>
          <w:iCs/>
          <w:color w:val="000000" w:themeColor="text1"/>
        </w:rPr>
        <w:tab/>
      </w:r>
      <w:r w:rsidRPr="004614CC">
        <w:rPr>
          <w:rFonts w:ascii="Arial" w:hAnsi="Arial" w:cs="Arial"/>
          <w:bCs/>
          <w:iCs/>
          <w:color w:val="000000" w:themeColor="text1"/>
        </w:rPr>
        <w:tab/>
      </w:r>
      <w:r w:rsidRPr="004614CC">
        <w:rPr>
          <w:rFonts w:ascii="Arial" w:hAnsi="Arial" w:cs="Arial"/>
          <w:bCs/>
          <w:iCs/>
          <w:color w:val="000000" w:themeColor="text1"/>
        </w:rPr>
        <w:tab/>
        <w:t xml:space="preserve"> </w:t>
      </w:r>
      <w:r w:rsidRPr="004614CC">
        <w:rPr>
          <w:rFonts w:ascii="Arial" w:hAnsi="Arial" w:cs="Arial"/>
          <w:bCs/>
          <w:iCs/>
          <w:color w:val="000000" w:themeColor="text1"/>
        </w:rPr>
        <w:tab/>
      </w:r>
      <w:r w:rsidRPr="004614CC">
        <w:rPr>
          <w:rFonts w:ascii="Arial" w:hAnsi="Arial" w:cs="Arial"/>
          <w:bCs/>
          <w:iCs/>
          <w:color w:val="00000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F256C1" w:rsidTr="002F764C">
        <w:trPr>
          <w:trHeight w:val="461"/>
        </w:trPr>
        <w:tc>
          <w:tcPr>
            <w:tcW w:w="2523" w:type="dxa"/>
            <w:shd w:val="clear" w:color="auto" w:fill="F2F2F2" w:themeFill="background1" w:themeFillShade="F2"/>
          </w:tcPr>
          <w:p w:rsidR="00846783" w:rsidRPr="00D067D4" w:rsidRDefault="0084045D" w:rsidP="002F764C">
            <w:pPr>
              <w:rPr>
                <w:rFonts w:ascii="Arial" w:hAnsi="Arial" w:cs="Arial"/>
                <w:b/>
                <w:bCs/>
                <w:iCs/>
                <w:color w:val="000000" w:themeColor="text1"/>
                <w:sz w:val="24"/>
                <w:szCs w:val="24"/>
              </w:rPr>
            </w:pPr>
            <w:r w:rsidRPr="00D067D4">
              <w:rPr>
                <w:rFonts w:ascii="Arial" w:hAnsi="Arial" w:cs="Arial"/>
                <w:b/>
                <w:bCs/>
                <w:iCs/>
                <w:color w:val="000000" w:themeColor="text1"/>
                <w:sz w:val="24"/>
                <w:szCs w:val="24"/>
              </w:rPr>
              <w:t>Title of Paper</w:t>
            </w:r>
          </w:p>
        </w:tc>
        <w:tc>
          <w:tcPr>
            <w:tcW w:w="7229" w:type="dxa"/>
          </w:tcPr>
          <w:p w:rsidR="00846783" w:rsidRPr="00D067D4" w:rsidRDefault="0084045D" w:rsidP="002F764C">
            <w:pPr>
              <w:ind w:left="1338" w:hanging="1338"/>
              <w:rPr>
                <w:rFonts w:ascii="Arial" w:hAnsi="Arial" w:cs="Arial"/>
                <w:b/>
                <w:bCs/>
                <w:iCs/>
                <w:color w:val="000000" w:themeColor="text1"/>
                <w:sz w:val="24"/>
                <w:szCs w:val="24"/>
              </w:rPr>
            </w:pPr>
            <w:r w:rsidRPr="00D067D4">
              <w:rPr>
                <w:rFonts w:ascii="Arial" w:hAnsi="Arial" w:cs="Arial"/>
                <w:b/>
                <w:bCs/>
                <w:sz w:val="24"/>
                <w:szCs w:val="24"/>
              </w:rPr>
              <w:t>Quarterly Report on Responsible Investment (2019 Q4)</w:t>
            </w:r>
          </w:p>
        </w:tc>
      </w:tr>
      <w:tr w:rsidR="00F256C1" w:rsidTr="002F764C">
        <w:trPr>
          <w:trHeight w:val="632"/>
        </w:trPr>
        <w:tc>
          <w:tcPr>
            <w:tcW w:w="2523" w:type="dxa"/>
            <w:shd w:val="clear" w:color="auto" w:fill="F2F2F2" w:themeFill="background1" w:themeFillShade="F2"/>
          </w:tcPr>
          <w:p w:rsidR="00846783" w:rsidRPr="00D067D4" w:rsidRDefault="0084045D" w:rsidP="002F764C">
            <w:pPr>
              <w:rPr>
                <w:rFonts w:ascii="Arial" w:hAnsi="Arial" w:cs="Arial"/>
                <w:b/>
                <w:bCs/>
                <w:iCs/>
                <w:color w:val="000000" w:themeColor="text1"/>
                <w:sz w:val="24"/>
                <w:szCs w:val="24"/>
              </w:rPr>
            </w:pPr>
            <w:r w:rsidRPr="00D067D4">
              <w:rPr>
                <w:rFonts w:ascii="Arial" w:hAnsi="Arial" w:cs="Arial"/>
                <w:b/>
                <w:bCs/>
                <w:iCs/>
                <w:color w:val="000000" w:themeColor="text1"/>
                <w:sz w:val="24"/>
                <w:szCs w:val="24"/>
              </w:rPr>
              <w:t>Lead Officer:</w:t>
            </w:r>
          </w:p>
        </w:tc>
        <w:tc>
          <w:tcPr>
            <w:tcW w:w="7229" w:type="dxa"/>
          </w:tcPr>
          <w:p w:rsidR="00D067D4" w:rsidRPr="00D067D4" w:rsidRDefault="0084045D" w:rsidP="00D067D4">
            <w:pPr>
              <w:spacing w:after="0"/>
              <w:ind w:left="1338" w:hanging="1338"/>
              <w:rPr>
                <w:rFonts w:ascii="Arial" w:hAnsi="Arial" w:cs="Arial"/>
                <w:bCs/>
                <w:sz w:val="24"/>
                <w:szCs w:val="24"/>
              </w:rPr>
            </w:pPr>
            <w:r w:rsidRPr="00D067D4">
              <w:rPr>
                <w:rFonts w:ascii="Arial" w:hAnsi="Arial" w:cs="Arial"/>
                <w:bCs/>
                <w:sz w:val="24"/>
                <w:szCs w:val="24"/>
              </w:rPr>
              <w:t>Frances Deakin Head of Responsible Investment</w:t>
            </w:r>
          </w:p>
          <w:p w:rsidR="00846783" w:rsidRPr="00D067D4" w:rsidRDefault="0084045D" w:rsidP="00D067D4">
            <w:pPr>
              <w:spacing w:after="0"/>
              <w:ind w:left="1338" w:hanging="1338"/>
              <w:rPr>
                <w:rFonts w:ascii="Arial" w:hAnsi="Arial" w:cs="Arial"/>
                <w:bCs/>
                <w:sz w:val="24"/>
                <w:szCs w:val="24"/>
              </w:rPr>
            </w:pPr>
            <w:r w:rsidRPr="00D067D4">
              <w:rPr>
                <w:rFonts w:ascii="Arial" w:hAnsi="Arial" w:cs="Arial"/>
                <w:bCs/>
                <w:sz w:val="24"/>
                <w:szCs w:val="24"/>
              </w:rPr>
              <w:t xml:space="preserve">Local Pensions Partnership Investments Ltd </w:t>
            </w:r>
          </w:p>
          <w:p w:rsidR="00846783" w:rsidRPr="00D067D4" w:rsidRDefault="0084045D" w:rsidP="00D067D4">
            <w:pPr>
              <w:spacing w:after="0"/>
              <w:rPr>
                <w:sz w:val="24"/>
                <w:szCs w:val="24"/>
              </w:rPr>
            </w:pPr>
            <w:hyperlink r:id="rId7" w:history="1">
              <w:r w:rsidRPr="00D067D4">
                <w:rPr>
                  <w:rStyle w:val="Hyperlink"/>
                  <w:rFonts w:ascii="Arial" w:hAnsi="Arial" w:cs="Arial"/>
                  <w:bCs/>
                  <w:iCs/>
                  <w:color w:val="000000" w:themeColor="text1"/>
                  <w:sz w:val="24"/>
                  <w:szCs w:val="24"/>
                </w:rPr>
                <w:t>frances.deakin@localpensionspartnership.org.uk</w:t>
              </w:r>
            </w:hyperlink>
          </w:p>
          <w:p w:rsidR="00D067D4" w:rsidRPr="00D067D4" w:rsidRDefault="0084045D" w:rsidP="00D067D4">
            <w:pPr>
              <w:spacing w:after="0"/>
              <w:rPr>
                <w:rFonts w:ascii="Arial" w:hAnsi="Arial" w:cs="Arial"/>
                <w:bCs/>
                <w:iCs/>
                <w:color w:val="000000" w:themeColor="text1"/>
                <w:sz w:val="24"/>
                <w:szCs w:val="24"/>
              </w:rPr>
            </w:pPr>
          </w:p>
        </w:tc>
      </w:tr>
    </w:tbl>
    <w:p w:rsidR="00846783" w:rsidRPr="00D067D4" w:rsidRDefault="0084045D" w:rsidP="00846783">
      <w:pPr>
        <w:spacing w:after="0" w:line="240" w:lineRule="auto"/>
        <w:rPr>
          <w:rFonts w:ascii="Verdana" w:hAnsi="Verdana" w:cs="Arial"/>
          <w:b/>
          <w:bCs/>
          <w:color w:val="000000" w:themeColor="text1"/>
          <w:sz w:val="24"/>
          <w:szCs w:val="24"/>
        </w:rPr>
      </w:pPr>
    </w:p>
    <w:p w:rsidR="00846783" w:rsidRPr="00D067D4" w:rsidRDefault="0084045D" w:rsidP="00846783">
      <w:pPr>
        <w:pStyle w:val="treb"/>
        <w:numPr>
          <w:ilvl w:val="0"/>
          <w:numId w:val="2"/>
        </w:numPr>
        <w:spacing w:after="0"/>
        <w:ind w:left="0" w:firstLine="0"/>
        <w:rPr>
          <w:rFonts w:ascii="Arial" w:hAnsi="Arial"/>
          <w:color w:val="44546A" w:themeColor="text2"/>
          <w:sz w:val="24"/>
          <w:szCs w:val="24"/>
        </w:rPr>
      </w:pPr>
      <w:r w:rsidRPr="00D067D4">
        <w:rPr>
          <w:rFonts w:ascii="Arial" w:hAnsi="Arial"/>
          <w:color w:val="44546A" w:themeColor="text2"/>
          <w:sz w:val="24"/>
          <w:szCs w:val="24"/>
        </w:rPr>
        <w:t>Executive Summary</w:t>
      </w:r>
    </w:p>
    <w:p w:rsidR="00846783" w:rsidRPr="00D067D4" w:rsidRDefault="0084045D" w:rsidP="00846783">
      <w:pPr>
        <w:pStyle w:val="treb"/>
        <w:numPr>
          <w:ilvl w:val="0"/>
          <w:numId w:val="0"/>
        </w:numPr>
        <w:spacing w:after="0"/>
        <w:rPr>
          <w:rFonts w:ascii="Arial" w:hAnsi="Arial"/>
          <w:b w:val="0"/>
          <w:color w:val="000000" w:themeColor="text1"/>
          <w:sz w:val="24"/>
          <w:szCs w:val="24"/>
        </w:rPr>
      </w:pPr>
    </w:p>
    <w:p w:rsidR="00846783" w:rsidRPr="00D067D4" w:rsidRDefault="0084045D" w:rsidP="00846783">
      <w:pPr>
        <w:pStyle w:val="treb"/>
        <w:numPr>
          <w:ilvl w:val="0"/>
          <w:numId w:val="0"/>
        </w:numPr>
        <w:spacing w:after="0"/>
        <w:rPr>
          <w:rFonts w:ascii="Arial" w:hAnsi="Arial"/>
          <w:b w:val="0"/>
          <w:sz w:val="24"/>
          <w:szCs w:val="24"/>
        </w:rPr>
      </w:pPr>
      <w:r w:rsidRPr="00D067D4">
        <w:rPr>
          <w:rFonts w:ascii="Arial" w:hAnsi="Arial"/>
          <w:b w:val="0"/>
          <w:sz w:val="24"/>
          <w:szCs w:val="24"/>
        </w:rPr>
        <w:t xml:space="preserve">This report provides members of the Pension Fund Committee of </w:t>
      </w:r>
      <w:r w:rsidRPr="00D067D4">
        <w:rPr>
          <w:rFonts w:ascii="Arial" w:hAnsi="Arial"/>
          <w:b w:val="0"/>
          <w:sz w:val="24"/>
          <w:szCs w:val="24"/>
        </w:rPr>
        <w:t>Lancashire County Pension Fund (LCPF) with a quarterly update on Responsible Investment (RI) matters.</w:t>
      </w:r>
    </w:p>
    <w:p w:rsidR="00846783" w:rsidRPr="00D067D4" w:rsidRDefault="0084045D" w:rsidP="00846783">
      <w:pPr>
        <w:pStyle w:val="treb"/>
        <w:numPr>
          <w:ilvl w:val="0"/>
          <w:numId w:val="0"/>
        </w:numPr>
        <w:spacing w:after="0"/>
        <w:rPr>
          <w:rFonts w:ascii="Arial" w:hAnsi="Arial"/>
          <w:b w:val="0"/>
          <w:color w:val="54BBAB"/>
          <w:sz w:val="24"/>
          <w:szCs w:val="24"/>
        </w:rPr>
      </w:pPr>
    </w:p>
    <w:p w:rsidR="00846783" w:rsidRPr="00D067D4" w:rsidRDefault="0084045D" w:rsidP="00846783">
      <w:pPr>
        <w:pStyle w:val="treb"/>
        <w:numPr>
          <w:ilvl w:val="0"/>
          <w:numId w:val="2"/>
        </w:numPr>
        <w:spacing w:after="0"/>
        <w:ind w:hanging="720"/>
        <w:rPr>
          <w:rFonts w:ascii="Arial" w:hAnsi="Arial"/>
          <w:color w:val="54BBAB"/>
          <w:sz w:val="24"/>
          <w:szCs w:val="24"/>
        </w:rPr>
      </w:pPr>
      <w:r w:rsidRPr="00D067D4">
        <w:rPr>
          <w:rFonts w:ascii="Arial" w:hAnsi="Arial"/>
          <w:color w:val="54BBAB"/>
          <w:sz w:val="24"/>
          <w:szCs w:val="24"/>
        </w:rPr>
        <w:t>Introduction</w:t>
      </w:r>
    </w:p>
    <w:p w:rsidR="00846783" w:rsidRPr="00D067D4" w:rsidRDefault="0084045D" w:rsidP="00846783">
      <w:pPr>
        <w:autoSpaceDE w:val="0"/>
        <w:autoSpaceDN w:val="0"/>
        <w:adjustRightInd w:val="0"/>
        <w:spacing w:after="0"/>
        <w:jc w:val="both"/>
        <w:rPr>
          <w:rFonts w:ascii="Arial" w:hAnsi="Arial" w:cs="Arial"/>
          <w:color w:val="54BBAB"/>
          <w:sz w:val="24"/>
          <w:szCs w:val="24"/>
        </w:rPr>
      </w:pPr>
    </w:p>
    <w:p w:rsidR="00846783" w:rsidRPr="00D067D4" w:rsidRDefault="0084045D" w:rsidP="00846783">
      <w:pPr>
        <w:autoSpaceDE w:val="0"/>
        <w:autoSpaceDN w:val="0"/>
        <w:adjustRightInd w:val="0"/>
        <w:spacing w:after="0"/>
        <w:jc w:val="both"/>
        <w:rPr>
          <w:rFonts w:ascii="Arial" w:hAnsi="Arial" w:cs="Arial"/>
          <w:sz w:val="24"/>
          <w:szCs w:val="24"/>
        </w:rPr>
      </w:pPr>
      <w:r w:rsidRPr="00D067D4">
        <w:rPr>
          <w:rFonts w:ascii="Arial" w:hAnsi="Arial" w:cs="Arial"/>
          <w:sz w:val="24"/>
          <w:szCs w:val="24"/>
        </w:rPr>
        <w:t>The Fund's approach to RI is articulated within an Investment Strategy Statement (ISS) which confirms that the objective of RI is to decrea</w:t>
      </w:r>
      <w:r w:rsidRPr="00D067D4">
        <w:rPr>
          <w:rFonts w:ascii="Arial" w:hAnsi="Arial" w:cs="Arial"/>
          <w:sz w:val="24"/>
          <w:szCs w:val="24"/>
        </w:rPr>
        <w:t>se investor risk, improve risk-adjusted returns and assist the Fund's adherence to the UK Stewardship Code. LCPF’s ISS is supplemented by a Responsible Investment Policy which explains that the Fund's preferred approach to RI encompasses four main areas of</w:t>
      </w:r>
      <w:r w:rsidRPr="00D067D4">
        <w:rPr>
          <w:rFonts w:ascii="Arial" w:hAnsi="Arial" w:cs="Arial"/>
          <w:sz w:val="24"/>
          <w:szCs w:val="24"/>
        </w:rPr>
        <w:t xml:space="preserve"> activity:</w:t>
      </w:r>
    </w:p>
    <w:p w:rsidR="00846783" w:rsidRPr="00D067D4" w:rsidRDefault="0084045D"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4"/>
          <w:szCs w:val="24"/>
        </w:rPr>
      </w:pPr>
      <w:r w:rsidRPr="00D067D4">
        <w:rPr>
          <w:rFonts w:ascii="Arial" w:hAnsi="Arial" w:cs="Arial"/>
          <w:sz w:val="24"/>
          <w:szCs w:val="24"/>
        </w:rPr>
        <w:t>Voting Globally</w:t>
      </w:r>
    </w:p>
    <w:p w:rsidR="00846783" w:rsidRPr="00D067D4" w:rsidRDefault="0084045D"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4"/>
          <w:szCs w:val="24"/>
        </w:rPr>
      </w:pPr>
      <w:r w:rsidRPr="00D067D4">
        <w:rPr>
          <w:rFonts w:ascii="Arial" w:hAnsi="Arial" w:cs="Arial"/>
          <w:sz w:val="24"/>
          <w:szCs w:val="24"/>
        </w:rPr>
        <w:t>Engagement through Partnerships</w:t>
      </w:r>
    </w:p>
    <w:p w:rsidR="00846783" w:rsidRPr="00D067D4" w:rsidRDefault="0084045D"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4"/>
          <w:szCs w:val="24"/>
        </w:rPr>
      </w:pPr>
      <w:r w:rsidRPr="00D067D4">
        <w:rPr>
          <w:rFonts w:ascii="Arial" w:hAnsi="Arial" w:cs="Arial"/>
          <w:sz w:val="24"/>
          <w:szCs w:val="24"/>
        </w:rPr>
        <w:t>Shareholder Litigation</w:t>
      </w:r>
    </w:p>
    <w:p w:rsidR="00846783" w:rsidRPr="00D067D4" w:rsidRDefault="0084045D" w:rsidP="00846783">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4"/>
          <w:szCs w:val="24"/>
        </w:rPr>
      </w:pPr>
      <w:r w:rsidRPr="00D067D4">
        <w:rPr>
          <w:rFonts w:ascii="Arial" w:hAnsi="Arial" w:cs="Arial"/>
          <w:sz w:val="24"/>
          <w:szCs w:val="24"/>
        </w:rPr>
        <w:t>Active Investing</w:t>
      </w:r>
    </w:p>
    <w:p w:rsidR="00846783" w:rsidRPr="00D067D4" w:rsidRDefault="0084045D" w:rsidP="00846783">
      <w:pPr>
        <w:autoSpaceDE w:val="0"/>
        <w:autoSpaceDN w:val="0"/>
        <w:adjustRightInd w:val="0"/>
        <w:spacing w:after="0"/>
        <w:jc w:val="both"/>
        <w:rPr>
          <w:rFonts w:ascii="Arial" w:hAnsi="Arial" w:cs="Arial"/>
          <w:sz w:val="24"/>
          <w:szCs w:val="24"/>
        </w:rPr>
      </w:pPr>
    </w:p>
    <w:p w:rsidR="00846783" w:rsidRPr="00D067D4" w:rsidRDefault="0084045D" w:rsidP="00846783">
      <w:pPr>
        <w:pStyle w:val="treb"/>
        <w:numPr>
          <w:ilvl w:val="0"/>
          <w:numId w:val="0"/>
        </w:numPr>
        <w:spacing w:after="0"/>
        <w:rPr>
          <w:rFonts w:ascii="Arial" w:hAnsi="Arial"/>
          <w:b w:val="0"/>
          <w:sz w:val="24"/>
          <w:szCs w:val="24"/>
        </w:rPr>
      </w:pPr>
      <w:r w:rsidRPr="00D067D4">
        <w:rPr>
          <w:rFonts w:ascii="Arial" w:hAnsi="Arial"/>
          <w:b w:val="0"/>
          <w:sz w:val="24"/>
          <w:szCs w:val="24"/>
        </w:rPr>
        <w:t>Responsibility for the practical implementation of the Fund's approach to RI is devolved to Local Pensions Partnership Investments Ltd (LPPI) as LCPF's prov</w:t>
      </w:r>
      <w:r w:rsidRPr="00D067D4">
        <w:rPr>
          <w:rFonts w:ascii="Arial" w:hAnsi="Arial"/>
          <w:b w:val="0"/>
          <w:sz w:val="24"/>
          <w:szCs w:val="24"/>
        </w:rPr>
        <w:t xml:space="preserve">ider of investment management services. The report which follows provides the Committee with an update on RI activity during the period 1 October to 31 December 2019 plus insights on current and emerging issues. </w:t>
      </w:r>
    </w:p>
    <w:p w:rsidR="00846783" w:rsidRPr="00D067D4" w:rsidRDefault="0084045D" w:rsidP="00846783">
      <w:pPr>
        <w:autoSpaceDE w:val="0"/>
        <w:autoSpaceDN w:val="0"/>
        <w:adjustRightInd w:val="0"/>
        <w:spacing w:after="0"/>
        <w:jc w:val="both"/>
        <w:rPr>
          <w:rFonts w:ascii="Arial" w:hAnsi="Arial" w:cs="Arial"/>
          <w:color w:val="000000" w:themeColor="text1"/>
          <w:sz w:val="24"/>
          <w:szCs w:val="24"/>
        </w:rPr>
      </w:pPr>
    </w:p>
    <w:p w:rsidR="00846783" w:rsidRPr="00D067D4" w:rsidRDefault="0084045D" w:rsidP="00846783">
      <w:pPr>
        <w:pStyle w:val="treb"/>
        <w:numPr>
          <w:ilvl w:val="0"/>
          <w:numId w:val="2"/>
        </w:numPr>
        <w:spacing w:after="0"/>
        <w:ind w:left="0" w:firstLine="0"/>
        <w:rPr>
          <w:rFonts w:ascii="Arial" w:hAnsi="Arial"/>
          <w:color w:val="44546A" w:themeColor="text2"/>
          <w:sz w:val="24"/>
          <w:szCs w:val="24"/>
        </w:rPr>
      </w:pPr>
      <w:r w:rsidRPr="00D067D4">
        <w:rPr>
          <w:rFonts w:ascii="Arial" w:hAnsi="Arial"/>
          <w:color w:val="44546A" w:themeColor="text2"/>
          <w:sz w:val="24"/>
          <w:szCs w:val="24"/>
        </w:rPr>
        <w:t>Voting Globally</w:t>
      </w:r>
    </w:p>
    <w:p w:rsidR="00846783" w:rsidRPr="00D067D4" w:rsidRDefault="0084045D" w:rsidP="00846783">
      <w:pPr>
        <w:pStyle w:val="treb"/>
        <w:numPr>
          <w:ilvl w:val="0"/>
          <w:numId w:val="0"/>
        </w:numPr>
        <w:spacing w:after="0"/>
        <w:rPr>
          <w:rFonts w:ascii="Arial" w:hAnsi="Arial"/>
          <w:color w:val="000000" w:themeColor="text1"/>
          <w:sz w:val="24"/>
          <w:szCs w:val="24"/>
        </w:rPr>
      </w:pPr>
    </w:p>
    <w:p w:rsidR="00846783" w:rsidRPr="00D067D4" w:rsidRDefault="0084045D" w:rsidP="00846783">
      <w:pPr>
        <w:autoSpaceDE w:val="0"/>
        <w:autoSpaceDN w:val="0"/>
        <w:adjustRightInd w:val="0"/>
        <w:spacing w:after="0"/>
        <w:rPr>
          <w:rFonts w:ascii="Arial" w:hAnsi="Arial" w:cs="Arial"/>
          <w:bCs/>
          <w:sz w:val="24"/>
          <w:szCs w:val="24"/>
        </w:rPr>
      </w:pPr>
      <w:r w:rsidRPr="00D067D4">
        <w:rPr>
          <w:rFonts w:ascii="Arial" w:hAnsi="Arial" w:cs="Arial"/>
          <w:bCs/>
          <w:sz w:val="24"/>
          <w:szCs w:val="24"/>
        </w:rPr>
        <w:t>Through its investment in</w:t>
      </w:r>
      <w:r w:rsidRPr="00D067D4">
        <w:rPr>
          <w:rFonts w:ascii="Arial" w:hAnsi="Arial" w:cs="Arial"/>
          <w:bCs/>
          <w:sz w:val="24"/>
          <w:szCs w:val="24"/>
        </w:rPr>
        <w:t xml:space="preserve"> the LPPI Global Equities Fund (GEF) LCPF owns units in a pooled fund which invests in listed companies globally. Investors in the GEF delegate the control and exercise of shareholder voting to LPPI. This</w:t>
      </w:r>
      <w:r w:rsidRPr="00D067D4">
        <w:rPr>
          <w:rFonts w:ascii="Arial" w:hAnsi="Arial" w:cs="Arial"/>
          <w:sz w:val="24"/>
          <w:szCs w:val="24"/>
        </w:rPr>
        <w:t xml:space="preserve"> </w:t>
      </w:r>
      <w:r w:rsidRPr="00D067D4">
        <w:rPr>
          <w:rFonts w:ascii="Arial" w:hAnsi="Arial" w:cs="Arial"/>
          <w:bCs/>
          <w:sz w:val="24"/>
          <w:szCs w:val="24"/>
        </w:rPr>
        <w:t>reflects that clients owning units in the GEF are b</w:t>
      </w:r>
      <w:r w:rsidRPr="00D067D4">
        <w:rPr>
          <w:rFonts w:ascii="Arial" w:hAnsi="Arial" w:cs="Arial"/>
          <w:bCs/>
          <w:sz w:val="24"/>
          <w:szCs w:val="24"/>
        </w:rPr>
        <w:t xml:space="preserve">eneficial owners in common but do not directly own shares in underlying companies. </w:t>
      </w:r>
    </w:p>
    <w:p w:rsidR="00846783" w:rsidRPr="00D067D4" w:rsidRDefault="0084045D" w:rsidP="00846783">
      <w:pPr>
        <w:autoSpaceDE w:val="0"/>
        <w:autoSpaceDN w:val="0"/>
        <w:adjustRightInd w:val="0"/>
        <w:spacing w:after="0"/>
        <w:rPr>
          <w:rFonts w:ascii="Arial" w:hAnsi="Arial" w:cs="Arial"/>
          <w:bCs/>
          <w:sz w:val="24"/>
          <w:szCs w:val="24"/>
        </w:rPr>
      </w:pPr>
    </w:p>
    <w:p w:rsidR="00846783" w:rsidRPr="00D067D4" w:rsidRDefault="0084045D" w:rsidP="00846783">
      <w:pPr>
        <w:autoSpaceDE w:val="0"/>
        <w:autoSpaceDN w:val="0"/>
        <w:adjustRightInd w:val="0"/>
        <w:spacing w:after="0"/>
        <w:rPr>
          <w:rFonts w:ascii="Arial" w:hAnsi="Arial" w:cs="Arial"/>
          <w:bCs/>
          <w:sz w:val="24"/>
          <w:szCs w:val="24"/>
        </w:rPr>
      </w:pPr>
      <w:r w:rsidRPr="00D067D4">
        <w:rPr>
          <w:rFonts w:ascii="Arial" w:hAnsi="Arial" w:cs="Arial"/>
          <w:bCs/>
          <w:sz w:val="24"/>
          <w:szCs w:val="24"/>
        </w:rPr>
        <w:t xml:space="preserve">LPPI exercises shareholder voting rights for the GEF centrally rather than delegating voting to individual asset managers and takes account of voting recommendations from </w:t>
      </w:r>
      <w:r w:rsidRPr="00D067D4">
        <w:rPr>
          <w:rFonts w:ascii="Arial" w:hAnsi="Arial" w:cs="Arial"/>
          <w:bCs/>
          <w:sz w:val="24"/>
          <w:szCs w:val="24"/>
        </w:rPr>
        <w:t xml:space="preserve">an external provider of proxy voting and governance research (ISS) in accordance a Sustainability Voting Policy designed to ensure the consideration of </w:t>
      </w:r>
      <w:r w:rsidRPr="00D067D4">
        <w:rPr>
          <w:rFonts w:ascii="Arial" w:hAnsi="Arial" w:cs="Arial"/>
          <w:bCs/>
          <w:sz w:val="24"/>
          <w:szCs w:val="24"/>
        </w:rPr>
        <w:lastRenderedPageBreak/>
        <w:t>ESG factors within analysis. LPPI reviews voting recommendations and takes the final decision on all vot</w:t>
      </w:r>
      <w:r w:rsidRPr="00D067D4">
        <w:rPr>
          <w:rFonts w:ascii="Arial" w:hAnsi="Arial" w:cs="Arial"/>
          <w:bCs/>
          <w:sz w:val="24"/>
          <w:szCs w:val="24"/>
        </w:rPr>
        <w:t>ing.</w:t>
      </w:r>
    </w:p>
    <w:p w:rsidR="00846783" w:rsidRPr="00D067D4" w:rsidRDefault="0084045D" w:rsidP="00846783">
      <w:pPr>
        <w:autoSpaceDE w:val="0"/>
        <w:autoSpaceDN w:val="0"/>
        <w:adjustRightInd w:val="0"/>
        <w:spacing w:after="0"/>
        <w:rPr>
          <w:rFonts w:ascii="Arial" w:hAnsi="Arial" w:cs="Arial"/>
          <w:bCs/>
          <w:sz w:val="24"/>
          <w:szCs w:val="24"/>
        </w:rPr>
      </w:pPr>
      <w:r w:rsidRPr="00D067D4">
        <w:rPr>
          <w:rFonts w:ascii="Arial" w:hAnsi="Arial" w:cs="Arial"/>
          <w:bCs/>
          <w:sz w:val="24"/>
          <w:szCs w:val="24"/>
        </w:rPr>
        <w:t xml:space="preserve"> </w:t>
      </w:r>
    </w:p>
    <w:p w:rsidR="00846783" w:rsidRPr="00D067D4" w:rsidRDefault="0084045D" w:rsidP="00846783">
      <w:pPr>
        <w:autoSpaceDE w:val="0"/>
        <w:autoSpaceDN w:val="0"/>
        <w:adjustRightInd w:val="0"/>
        <w:spacing w:after="0"/>
        <w:rPr>
          <w:rFonts w:ascii="Arial" w:hAnsi="Arial" w:cs="Arial"/>
          <w:bCs/>
          <w:sz w:val="24"/>
          <w:szCs w:val="24"/>
        </w:rPr>
      </w:pPr>
      <w:r w:rsidRPr="00D067D4">
        <w:rPr>
          <w:rFonts w:ascii="Arial" w:hAnsi="Arial" w:cs="Arial"/>
          <w:bCs/>
          <w:sz w:val="24"/>
          <w:szCs w:val="24"/>
        </w:rPr>
        <w:t>In the fourth quarter of 2019 shareholder voting headlines for the GEF were as follows:</w:t>
      </w:r>
    </w:p>
    <w:p w:rsidR="00846783" w:rsidRPr="00D067D4" w:rsidRDefault="0084045D" w:rsidP="00846783">
      <w:pPr>
        <w:autoSpaceDE w:val="0"/>
        <w:autoSpaceDN w:val="0"/>
        <w:adjustRightInd w:val="0"/>
        <w:spacing w:after="0"/>
        <w:rPr>
          <w:rFonts w:ascii="Arial" w:hAnsi="Arial" w:cs="Arial"/>
          <w:bCs/>
          <w:sz w:val="24"/>
          <w:szCs w:val="24"/>
          <w:u w:val="single"/>
        </w:rPr>
      </w:pPr>
    </w:p>
    <w:p w:rsidR="00846783" w:rsidRPr="00D067D4" w:rsidRDefault="0084045D" w:rsidP="00846783">
      <w:pPr>
        <w:spacing w:after="0"/>
        <w:rPr>
          <w:rFonts w:ascii="Arial" w:hAnsi="Arial" w:cs="Arial"/>
          <w:bCs/>
          <w:sz w:val="24"/>
          <w:szCs w:val="24"/>
          <w:u w:val="single"/>
        </w:rPr>
      </w:pPr>
      <w:r w:rsidRPr="00D067D4">
        <w:rPr>
          <w:rFonts w:ascii="Arial" w:hAnsi="Arial" w:cs="Arial"/>
          <w:bCs/>
          <w:sz w:val="24"/>
          <w:szCs w:val="24"/>
          <w:u w:val="single"/>
        </w:rPr>
        <w:t>LPPI Global Equities Fund (GEF)</w:t>
      </w:r>
    </w:p>
    <w:p w:rsidR="007A115F" w:rsidRPr="00D067D4" w:rsidRDefault="0084045D" w:rsidP="00846783">
      <w:pPr>
        <w:spacing w:after="0"/>
        <w:rPr>
          <w:rFonts w:ascii="Arial" w:hAnsi="Arial" w:cs="Arial"/>
          <w:bCs/>
          <w:sz w:val="24"/>
          <w:szCs w:val="24"/>
          <w:u w:val="single"/>
        </w:rPr>
      </w:pPr>
    </w:p>
    <w:tbl>
      <w:tblPr>
        <w:tblStyle w:val="TableGrid"/>
        <w:tblW w:w="0" w:type="auto"/>
        <w:tblLook w:val="04A0" w:firstRow="1" w:lastRow="0" w:firstColumn="1" w:lastColumn="0" w:noHBand="0" w:noVBand="1"/>
      </w:tblPr>
      <w:tblGrid>
        <w:gridCol w:w="5807"/>
        <w:gridCol w:w="851"/>
      </w:tblGrid>
      <w:tr w:rsidR="00F256C1" w:rsidTr="00041395">
        <w:tc>
          <w:tcPr>
            <w:tcW w:w="5807" w:type="dxa"/>
          </w:tcPr>
          <w:p w:rsidR="007A115F" w:rsidRPr="00D067D4" w:rsidRDefault="0084045D" w:rsidP="007A115F">
            <w:pPr>
              <w:spacing w:after="0"/>
              <w:rPr>
                <w:rFonts w:ascii="Arial" w:hAnsi="Arial" w:cs="Arial"/>
                <w:bCs/>
                <w:sz w:val="24"/>
                <w:szCs w:val="24"/>
              </w:rPr>
            </w:pPr>
            <w:r w:rsidRPr="00D067D4">
              <w:rPr>
                <w:rFonts w:ascii="Arial" w:hAnsi="Arial" w:cs="Arial"/>
                <w:bCs/>
                <w:sz w:val="24"/>
                <w:szCs w:val="24"/>
              </w:rPr>
              <w:t>Total company meetings taking place</w:t>
            </w:r>
          </w:p>
        </w:tc>
        <w:tc>
          <w:tcPr>
            <w:tcW w:w="851" w:type="dxa"/>
          </w:tcPr>
          <w:p w:rsidR="007A115F" w:rsidRPr="00D067D4" w:rsidRDefault="0084045D" w:rsidP="007A115F">
            <w:pPr>
              <w:spacing w:after="0"/>
              <w:jc w:val="right"/>
              <w:rPr>
                <w:rFonts w:ascii="Arial" w:hAnsi="Arial" w:cs="Arial"/>
                <w:bCs/>
                <w:sz w:val="24"/>
                <w:szCs w:val="24"/>
              </w:rPr>
            </w:pPr>
            <w:r w:rsidRPr="00D067D4">
              <w:rPr>
                <w:rFonts w:ascii="Arial" w:hAnsi="Arial" w:cs="Arial"/>
                <w:bCs/>
                <w:sz w:val="24"/>
                <w:szCs w:val="24"/>
              </w:rPr>
              <w:t>69</w:t>
            </w:r>
          </w:p>
        </w:tc>
      </w:tr>
      <w:tr w:rsidR="00F256C1" w:rsidTr="00041395">
        <w:tc>
          <w:tcPr>
            <w:tcW w:w="5807" w:type="dxa"/>
          </w:tcPr>
          <w:p w:rsidR="007A115F" w:rsidRPr="00D067D4" w:rsidRDefault="0084045D" w:rsidP="007A115F">
            <w:pPr>
              <w:spacing w:after="0"/>
              <w:rPr>
                <w:rFonts w:ascii="Arial" w:hAnsi="Arial" w:cs="Arial"/>
                <w:bCs/>
                <w:sz w:val="24"/>
                <w:szCs w:val="24"/>
              </w:rPr>
            </w:pPr>
            <w:r w:rsidRPr="00D067D4">
              <w:rPr>
                <w:rFonts w:ascii="Arial" w:hAnsi="Arial" w:cs="Arial"/>
                <w:bCs/>
                <w:sz w:val="24"/>
                <w:szCs w:val="24"/>
              </w:rPr>
              <w:t>Total resolutions</w:t>
            </w:r>
          </w:p>
          <w:p w:rsidR="007A115F" w:rsidRPr="00D067D4" w:rsidRDefault="0084045D" w:rsidP="007A115F">
            <w:pPr>
              <w:spacing w:after="0"/>
              <w:rPr>
                <w:rFonts w:ascii="Arial" w:hAnsi="Arial" w:cs="Arial"/>
                <w:bCs/>
                <w:sz w:val="24"/>
                <w:szCs w:val="24"/>
              </w:rPr>
            </w:pPr>
            <w:r w:rsidRPr="00D067D4">
              <w:rPr>
                <w:rFonts w:ascii="Arial" w:hAnsi="Arial" w:cs="Arial"/>
                <w:bCs/>
                <w:sz w:val="24"/>
                <w:szCs w:val="24"/>
              </w:rPr>
              <w:t>(Management and shareholder proposals)</w:t>
            </w:r>
          </w:p>
        </w:tc>
        <w:tc>
          <w:tcPr>
            <w:tcW w:w="851" w:type="dxa"/>
          </w:tcPr>
          <w:p w:rsidR="007A115F" w:rsidRPr="00D067D4" w:rsidRDefault="0084045D" w:rsidP="007A115F">
            <w:pPr>
              <w:spacing w:after="0"/>
              <w:jc w:val="right"/>
              <w:rPr>
                <w:rFonts w:ascii="Arial" w:hAnsi="Arial" w:cs="Arial"/>
                <w:bCs/>
                <w:sz w:val="24"/>
                <w:szCs w:val="24"/>
              </w:rPr>
            </w:pPr>
            <w:r w:rsidRPr="00D067D4">
              <w:rPr>
                <w:rFonts w:ascii="Arial" w:hAnsi="Arial" w:cs="Arial"/>
                <w:bCs/>
                <w:sz w:val="24"/>
                <w:szCs w:val="24"/>
              </w:rPr>
              <w:t>571</w:t>
            </w:r>
          </w:p>
        </w:tc>
      </w:tr>
      <w:tr w:rsidR="00F256C1" w:rsidTr="00041395">
        <w:tc>
          <w:tcPr>
            <w:tcW w:w="5807" w:type="dxa"/>
          </w:tcPr>
          <w:p w:rsidR="007A115F" w:rsidRPr="00D067D4" w:rsidRDefault="0084045D" w:rsidP="007A115F">
            <w:pPr>
              <w:spacing w:after="0"/>
              <w:rPr>
                <w:rFonts w:ascii="Arial" w:hAnsi="Arial" w:cs="Arial"/>
                <w:bCs/>
                <w:sz w:val="24"/>
                <w:szCs w:val="24"/>
              </w:rPr>
            </w:pPr>
            <w:r w:rsidRPr="00D067D4">
              <w:rPr>
                <w:rFonts w:ascii="Arial" w:hAnsi="Arial" w:cs="Arial"/>
                <w:bCs/>
                <w:sz w:val="24"/>
                <w:szCs w:val="24"/>
              </w:rPr>
              <w:t>Total company proposals i</w:t>
            </w:r>
            <w:r w:rsidRPr="00D067D4">
              <w:rPr>
                <w:rFonts w:ascii="Arial" w:hAnsi="Arial" w:cs="Arial"/>
                <w:bCs/>
                <w:sz w:val="24"/>
                <w:szCs w:val="24"/>
              </w:rPr>
              <w:t>n the period</w:t>
            </w:r>
          </w:p>
        </w:tc>
        <w:tc>
          <w:tcPr>
            <w:tcW w:w="851" w:type="dxa"/>
          </w:tcPr>
          <w:p w:rsidR="007A115F" w:rsidRPr="00D067D4" w:rsidRDefault="0084045D" w:rsidP="007A115F">
            <w:pPr>
              <w:spacing w:after="0"/>
              <w:jc w:val="right"/>
              <w:rPr>
                <w:rFonts w:ascii="Arial" w:hAnsi="Arial" w:cs="Arial"/>
                <w:bCs/>
                <w:sz w:val="24"/>
                <w:szCs w:val="24"/>
              </w:rPr>
            </w:pPr>
            <w:r w:rsidRPr="00D067D4">
              <w:rPr>
                <w:rFonts w:ascii="Arial" w:hAnsi="Arial" w:cs="Arial"/>
                <w:bCs/>
                <w:sz w:val="24"/>
                <w:szCs w:val="24"/>
              </w:rPr>
              <w:t>560</w:t>
            </w:r>
          </w:p>
        </w:tc>
      </w:tr>
      <w:tr w:rsidR="00F256C1" w:rsidTr="00041395">
        <w:tc>
          <w:tcPr>
            <w:tcW w:w="5807" w:type="dxa"/>
          </w:tcPr>
          <w:p w:rsidR="007A115F" w:rsidRPr="00D067D4" w:rsidRDefault="0084045D" w:rsidP="007A115F">
            <w:pPr>
              <w:spacing w:after="0"/>
              <w:rPr>
                <w:rFonts w:ascii="Arial" w:hAnsi="Arial" w:cs="Arial"/>
                <w:bCs/>
                <w:sz w:val="24"/>
                <w:szCs w:val="24"/>
              </w:rPr>
            </w:pPr>
            <w:r w:rsidRPr="00D067D4">
              <w:rPr>
                <w:rFonts w:ascii="Arial" w:hAnsi="Arial" w:cs="Arial"/>
                <w:bCs/>
                <w:sz w:val="24"/>
                <w:szCs w:val="24"/>
              </w:rPr>
              <w:t>Total shareholder proposals in the period</w:t>
            </w:r>
          </w:p>
        </w:tc>
        <w:tc>
          <w:tcPr>
            <w:tcW w:w="851" w:type="dxa"/>
          </w:tcPr>
          <w:p w:rsidR="007A115F" w:rsidRPr="00D067D4" w:rsidRDefault="0084045D" w:rsidP="007A115F">
            <w:pPr>
              <w:spacing w:after="0"/>
              <w:jc w:val="right"/>
              <w:rPr>
                <w:rFonts w:ascii="Arial" w:hAnsi="Arial" w:cs="Arial"/>
                <w:bCs/>
                <w:sz w:val="24"/>
                <w:szCs w:val="24"/>
              </w:rPr>
            </w:pPr>
            <w:r w:rsidRPr="00D067D4">
              <w:rPr>
                <w:rFonts w:ascii="Arial" w:hAnsi="Arial" w:cs="Arial"/>
                <w:bCs/>
                <w:sz w:val="24"/>
                <w:szCs w:val="24"/>
              </w:rPr>
              <w:t>11</w:t>
            </w:r>
          </w:p>
        </w:tc>
      </w:tr>
    </w:tbl>
    <w:p w:rsidR="00D62B8F" w:rsidRPr="00D067D4" w:rsidRDefault="0084045D" w:rsidP="007A115F">
      <w:pPr>
        <w:spacing w:after="0"/>
        <w:jc w:val="right"/>
        <w:rPr>
          <w:rFonts w:ascii="Arial" w:hAnsi="Arial" w:cs="Arial"/>
          <w:bCs/>
          <w:sz w:val="24"/>
          <w:szCs w:val="24"/>
          <w:u w:val="single"/>
        </w:rPr>
      </w:pPr>
    </w:p>
    <w:p w:rsidR="001A62D4" w:rsidRPr="00D067D4" w:rsidRDefault="0084045D" w:rsidP="00D62B8F">
      <w:pPr>
        <w:spacing w:after="0"/>
        <w:rPr>
          <w:rFonts w:ascii="Arial" w:hAnsi="Arial" w:cs="Arial"/>
          <w:bCs/>
          <w:sz w:val="24"/>
          <w:szCs w:val="24"/>
        </w:rPr>
      </w:pPr>
      <w:r w:rsidRPr="00D067D4">
        <w:rPr>
          <w:rFonts w:ascii="Arial" w:hAnsi="Arial" w:cs="Arial"/>
          <w:sz w:val="24"/>
          <w:szCs w:val="24"/>
        </w:rPr>
        <w:t xml:space="preserve">The following table summarises resolutions by type and indicates </w:t>
      </w:r>
      <w:r w:rsidRPr="00D067D4">
        <w:rPr>
          <w:rFonts w:ascii="Arial" w:hAnsi="Arial" w:cs="Arial"/>
          <w:bCs/>
          <w:sz w:val="24"/>
          <w:szCs w:val="24"/>
        </w:rPr>
        <w:t>where opposition voting was concentrated</w:t>
      </w:r>
      <w:r w:rsidRPr="00D067D4">
        <w:rPr>
          <w:rFonts w:ascii="Arial" w:hAnsi="Arial" w:cs="Arial"/>
          <w:sz w:val="24"/>
          <w:szCs w:val="24"/>
        </w:rPr>
        <w:t xml:space="preserve"> </w:t>
      </w:r>
      <w:r w:rsidRPr="00D067D4">
        <w:rPr>
          <w:rFonts w:ascii="Arial" w:hAnsi="Arial" w:cs="Arial"/>
          <w:bCs/>
          <w:sz w:val="24"/>
          <w:szCs w:val="24"/>
        </w:rPr>
        <w:t>in Q4.</w:t>
      </w:r>
    </w:p>
    <w:p w:rsidR="001A62D4" w:rsidRPr="00D067D4" w:rsidRDefault="0084045D" w:rsidP="00D62B8F">
      <w:pPr>
        <w:spacing w:after="0"/>
        <w:rPr>
          <w:rFonts w:ascii="Arial" w:hAnsi="Arial" w:cs="Arial"/>
          <w:bCs/>
          <w:sz w:val="24"/>
          <w:szCs w:val="24"/>
        </w:rPr>
      </w:pPr>
      <w:r w:rsidRPr="00D067D4">
        <w:rPr>
          <w:noProof/>
          <w:sz w:val="24"/>
          <w:szCs w:val="24"/>
          <w:lang w:eastAsia="en-GB"/>
        </w:rPr>
        <w:drawing>
          <wp:anchor distT="0" distB="0" distL="114300" distR="114300" simplePos="0" relativeHeight="251659264" behindDoc="0" locked="0" layoutInCell="1" allowOverlap="1">
            <wp:simplePos x="0" y="0"/>
            <wp:positionH relativeFrom="column">
              <wp:posOffset>-66674</wp:posOffset>
            </wp:positionH>
            <wp:positionV relativeFrom="paragraph">
              <wp:posOffset>97622</wp:posOffset>
            </wp:positionV>
            <wp:extent cx="4114800" cy="219028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22770" name=""/>
                    <pic:cNvPicPr/>
                  </pic:nvPicPr>
                  <pic:blipFill>
                    <a:blip r:embed="rId8">
                      <a:extLst>
                        <a:ext uri="{28A0092B-C50C-407E-A947-70E740481C1C}">
                          <a14:useLocalDpi xmlns:a14="http://schemas.microsoft.com/office/drawing/2010/main" val="0"/>
                        </a:ext>
                      </a:extLst>
                    </a:blip>
                    <a:stretch>
                      <a:fillRect/>
                    </a:stretch>
                  </pic:blipFill>
                  <pic:spPr>
                    <a:xfrm>
                      <a:off x="0" y="0"/>
                      <a:ext cx="4117241" cy="2191582"/>
                    </a:xfrm>
                    <a:prstGeom prst="rect">
                      <a:avLst/>
                    </a:prstGeom>
                  </pic:spPr>
                </pic:pic>
              </a:graphicData>
            </a:graphic>
            <wp14:sizeRelH relativeFrom="page">
              <wp14:pctWidth>0</wp14:pctWidth>
            </wp14:sizeRelH>
            <wp14:sizeRelV relativeFrom="page">
              <wp14:pctHeight>0</wp14:pctHeight>
            </wp14:sizeRelV>
          </wp:anchor>
        </w:drawing>
      </w:r>
    </w:p>
    <w:p w:rsidR="00846783" w:rsidRPr="00D067D4" w:rsidRDefault="0084045D" w:rsidP="00D62B8F">
      <w:pPr>
        <w:spacing w:after="0"/>
        <w:rPr>
          <w:rFonts w:ascii="Arial" w:hAnsi="Arial" w:cs="Arial"/>
          <w:sz w:val="24"/>
          <w:szCs w:val="24"/>
          <w:highlight w:val="yellow"/>
          <w:u w:val="single"/>
        </w:rPr>
      </w:pPr>
    </w:p>
    <w:p w:rsidR="00846783" w:rsidRPr="00D067D4" w:rsidRDefault="0084045D" w:rsidP="00846783">
      <w:pPr>
        <w:autoSpaceDE w:val="0"/>
        <w:autoSpaceDN w:val="0"/>
        <w:adjustRightInd w:val="0"/>
        <w:spacing w:after="0"/>
        <w:rPr>
          <w:rFonts w:ascii="Arial" w:hAnsi="Arial" w:cs="Arial"/>
          <w:noProof/>
          <w:sz w:val="24"/>
          <w:szCs w:val="24"/>
        </w:rPr>
      </w:pPr>
    </w:p>
    <w:p w:rsidR="00812F15" w:rsidRPr="00D067D4" w:rsidRDefault="0084045D" w:rsidP="00846783">
      <w:pPr>
        <w:autoSpaceDE w:val="0"/>
        <w:autoSpaceDN w:val="0"/>
        <w:adjustRightInd w:val="0"/>
        <w:spacing w:after="0"/>
        <w:rPr>
          <w:rFonts w:ascii="Arial" w:hAnsi="Arial" w:cs="Arial"/>
          <w:noProof/>
          <w:sz w:val="24"/>
          <w:szCs w:val="24"/>
        </w:rPr>
      </w:pPr>
      <w:r w:rsidRPr="00D067D4">
        <w:rPr>
          <w:noProof/>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172277</wp:posOffset>
            </wp:positionV>
            <wp:extent cx="3636645" cy="133985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56500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36645" cy="1339850"/>
                    </a:xfrm>
                    <a:prstGeom prst="rect">
                      <a:avLst/>
                    </a:prstGeom>
                    <a:noFill/>
                    <a:ln>
                      <a:noFill/>
                    </a:ln>
                  </pic:spPr>
                </pic:pic>
              </a:graphicData>
            </a:graphic>
          </wp:anchor>
        </w:drawing>
      </w:r>
    </w:p>
    <w:p w:rsidR="001A62D4" w:rsidRPr="00D067D4" w:rsidRDefault="0084045D" w:rsidP="00846783">
      <w:pPr>
        <w:autoSpaceDE w:val="0"/>
        <w:autoSpaceDN w:val="0"/>
        <w:adjustRightInd w:val="0"/>
        <w:spacing w:after="0"/>
        <w:rPr>
          <w:rFonts w:ascii="Arial" w:hAnsi="Arial" w:cs="Arial"/>
          <w:bCs/>
          <w:sz w:val="24"/>
          <w:szCs w:val="24"/>
        </w:rPr>
      </w:pPr>
    </w:p>
    <w:p w:rsidR="00846783" w:rsidRPr="00D067D4" w:rsidRDefault="0084045D" w:rsidP="000F1B41">
      <w:pPr>
        <w:spacing w:after="0" w:line="240" w:lineRule="auto"/>
        <w:rPr>
          <w:rFonts w:ascii="Arial" w:hAnsi="Arial" w:cs="Arial"/>
          <w:iCs/>
          <w:color w:val="000000"/>
          <w:sz w:val="24"/>
          <w:szCs w:val="24"/>
        </w:rPr>
      </w:pPr>
      <w:r w:rsidRPr="00D067D4">
        <w:rPr>
          <w:rFonts w:ascii="Arial" w:hAnsi="Arial" w:cs="Arial"/>
          <w:iCs/>
          <w:color w:val="000000"/>
          <w:sz w:val="24"/>
          <w:szCs w:val="24"/>
        </w:rPr>
        <w:t xml:space="preserve">LPPI voted against or withheld support for management proposals in 63 instances (across 23 company meetings). </w:t>
      </w:r>
    </w:p>
    <w:p w:rsidR="00846783" w:rsidRPr="00D067D4" w:rsidRDefault="0084045D" w:rsidP="000F1B41">
      <w:pPr>
        <w:spacing w:after="0" w:line="240" w:lineRule="auto"/>
        <w:rPr>
          <w:rFonts w:ascii="Arial" w:hAnsi="Arial" w:cs="Arial"/>
          <w:iCs/>
          <w:color w:val="000000"/>
          <w:sz w:val="24"/>
          <w:szCs w:val="24"/>
        </w:rPr>
      </w:pPr>
    </w:p>
    <w:p w:rsidR="00846783" w:rsidRPr="00D067D4" w:rsidRDefault="0084045D" w:rsidP="000F1B41">
      <w:pPr>
        <w:spacing w:after="0" w:line="240" w:lineRule="auto"/>
        <w:rPr>
          <w:rFonts w:ascii="Arial" w:hAnsi="Arial" w:cs="Arial"/>
          <w:iCs/>
          <w:color w:val="000000"/>
          <w:sz w:val="24"/>
          <w:szCs w:val="24"/>
        </w:rPr>
      </w:pPr>
      <w:r w:rsidRPr="00D067D4">
        <w:rPr>
          <w:rFonts w:ascii="Arial" w:hAnsi="Arial" w:cs="Arial"/>
          <w:iCs/>
          <w:color w:val="000000"/>
          <w:sz w:val="24"/>
          <w:szCs w:val="24"/>
        </w:rPr>
        <w:t>These included opposing or withholding support for 27 management proposals connected with the election / re-election of directors. Opposition vo</w:t>
      </w:r>
      <w:r w:rsidRPr="00D067D4">
        <w:rPr>
          <w:rFonts w:ascii="Arial" w:hAnsi="Arial" w:cs="Arial"/>
          <w:iCs/>
          <w:color w:val="000000"/>
          <w:sz w:val="24"/>
          <w:szCs w:val="24"/>
        </w:rPr>
        <w:t>ting most commonly addressed concerns about the composition and independence of company boards and the independence of individual board members but also reflected concern at instances of poor risk oversight and inadequate internal controls.</w:t>
      </w:r>
    </w:p>
    <w:p w:rsidR="00846783" w:rsidRPr="00D067D4" w:rsidRDefault="0084045D" w:rsidP="00846783">
      <w:pPr>
        <w:spacing w:after="0" w:line="240" w:lineRule="auto"/>
        <w:rPr>
          <w:rFonts w:ascii="Arial" w:hAnsi="Arial" w:cs="Arial"/>
          <w:color w:val="000000"/>
          <w:sz w:val="24"/>
          <w:szCs w:val="24"/>
        </w:rPr>
      </w:pPr>
    </w:p>
    <w:p w:rsidR="00846783" w:rsidRPr="00D067D4" w:rsidRDefault="0084045D" w:rsidP="00846783">
      <w:pPr>
        <w:spacing w:after="0" w:line="240" w:lineRule="auto"/>
        <w:rPr>
          <w:rFonts w:ascii="Arial" w:hAnsi="Arial" w:cs="Arial"/>
          <w:iCs/>
          <w:color w:val="000000"/>
          <w:sz w:val="24"/>
          <w:szCs w:val="24"/>
        </w:rPr>
      </w:pPr>
      <w:r w:rsidRPr="00D067D4">
        <w:rPr>
          <w:rFonts w:ascii="Arial" w:hAnsi="Arial" w:cs="Arial"/>
          <w:iCs/>
          <w:color w:val="000000"/>
          <w:sz w:val="24"/>
          <w:szCs w:val="24"/>
        </w:rPr>
        <w:t>Director Relat</w:t>
      </w:r>
      <w:r w:rsidRPr="00D067D4">
        <w:rPr>
          <w:rFonts w:ascii="Arial" w:hAnsi="Arial" w:cs="Arial"/>
          <w:iCs/>
          <w:color w:val="000000"/>
          <w:sz w:val="24"/>
          <w:szCs w:val="24"/>
        </w:rPr>
        <w:t>ed</w:t>
      </w:r>
    </w:p>
    <w:p w:rsidR="002E13EF" w:rsidRPr="00D067D4" w:rsidRDefault="0084045D" w:rsidP="00846783">
      <w:pPr>
        <w:spacing w:after="0" w:line="240" w:lineRule="auto"/>
        <w:rPr>
          <w:rFonts w:ascii="Arial" w:hAnsi="Arial" w:cs="Arial"/>
          <w:iCs/>
          <w:color w:val="000000"/>
          <w:sz w:val="24"/>
          <w:szCs w:val="24"/>
        </w:rPr>
      </w:pPr>
    </w:p>
    <w:p w:rsidR="009C10A1" w:rsidRPr="00D067D4" w:rsidRDefault="0084045D" w:rsidP="009C10A1">
      <w:pPr>
        <w:spacing w:after="0" w:line="240" w:lineRule="auto"/>
        <w:rPr>
          <w:rFonts w:ascii="Arial" w:hAnsi="Arial" w:cs="Arial"/>
          <w:iCs/>
          <w:color w:val="000000"/>
          <w:sz w:val="24"/>
          <w:szCs w:val="24"/>
        </w:rPr>
      </w:pPr>
      <w:r w:rsidRPr="00D067D4">
        <w:rPr>
          <w:rFonts w:ascii="Arial" w:hAnsi="Arial" w:cs="Arial"/>
          <w:iCs/>
          <w:color w:val="000000"/>
          <w:sz w:val="24"/>
          <w:szCs w:val="24"/>
        </w:rPr>
        <w:t xml:space="preserve">LPPI voted against the re-election of the Chief Finance Officer and incumbent Audit Committee members at Sasol Ltd (South Africa: Diversified Chemicals). This followed material failures in internal controls relating to the construction of a new </w:t>
      </w:r>
      <w:r w:rsidRPr="00D067D4">
        <w:rPr>
          <w:rFonts w:ascii="Arial" w:hAnsi="Arial" w:cs="Arial"/>
          <w:iCs/>
          <w:color w:val="000000"/>
          <w:sz w:val="24"/>
          <w:szCs w:val="24"/>
        </w:rPr>
        <w:t xml:space="preserve">petrochemicals complex. In the period after a final investment decision in 2014, project costs were revised upwards from USD 8.9bn to 12.9bn and an internal review concluded </w:t>
      </w:r>
      <w:bookmarkStart w:id="0" w:name="_Hlk24504730"/>
      <w:r w:rsidRPr="00D067D4">
        <w:rPr>
          <w:rFonts w:ascii="Arial" w:hAnsi="Arial" w:cs="Arial"/>
          <w:iCs/>
          <w:color w:val="000000"/>
          <w:sz w:val="24"/>
          <w:szCs w:val="24"/>
        </w:rPr>
        <w:t xml:space="preserve">the </w:t>
      </w:r>
      <w:bookmarkEnd w:id="0"/>
      <w:r w:rsidRPr="00D067D4">
        <w:rPr>
          <w:rFonts w:ascii="Arial" w:hAnsi="Arial" w:cs="Arial"/>
          <w:iCs/>
          <w:color w:val="000000"/>
          <w:sz w:val="24"/>
          <w:szCs w:val="24"/>
        </w:rPr>
        <w:t xml:space="preserve">project’s management team </w:t>
      </w:r>
      <w:r w:rsidRPr="00D067D4">
        <w:rPr>
          <w:rFonts w:ascii="Arial" w:hAnsi="Arial" w:cs="Arial"/>
          <w:color w:val="000000"/>
          <w:sz w:val="24"/>
          <w:szCs w:val="24"/>
        </w:rPr>
        <w:t xml:space="preserve">demonstrated a lack of competence and </w:t>
      </w:r>
      <w:r w:rsidRPr="00D067D4">
        <w:rPr>
          <w:rFonts w:ascii="Arial" w:hAnsi="Arial" w:cs="Arial"/>
          <w:color w:val="000000"/>
          <w:sz w:val="24"/>
          <w:szCs w:val="24"/>
        </w:rPr>
        <w:lastRenderedPageBreak/>
        <w:t>poor transpare</w:t>
      </w:r>
      <w:r w:rsidRPr="00D067D4">
        <w:rPr>
          <w:rFonts w:ascii="Arial" w:hAnsi="Arial" w:cs="Arial"/>
          <w:color w:val="000000"/>
          <w:sz w:val="24"/>
          <w:szCs w:val="24"/>
        </w:rPr>
        <w:t>ncy. (Results: Between 12.7% and 29.3% against the re-election of the various incumbents).</w:t>
      </w:r>
    </w:p>
    <w:p w:rsidR="009C10A1" w:rsidRPr="00D067D4" w:rsidRDefault="0084045D" w:rsidP="009C10A1">
      <w:pPr>
        <w:spacing w:after="0" w:line="240" w:lineRule="auto"/>
        <w:rPr>
          <w:rFonts w:ascii="Arial" w:hAnsi="Arial" w:cs="Arial"/>
          <w:iCs/>
          <w:color w:val="000000"/>
          <w:sz w:val="24"/>
          <w:szCs w:val="24"/>
        </w:rPr>
      </w:pPr>
    </w:p>
    <w:p w:rsidR="009C10A1" w:rsidRPr="00D067D4" w:rsidRDefault="0084045D" w:rsidP="009C10A1">
      <w:pPr>
        <w:spacing w:after="0" w:line="240" w:lineRule="auto"/>
        <w:rPr>
          <w:rFonts w:ascii="Arial" w:hAnsi="Arial" w:cs="Arial"/>
          <w:iCs/>
          <w:color w:val="000000"/>
          <w:sz w:val="24"/>
          <w:szCs w:val="24"/>
        </w:rPr>
      </w:pPr>
      <w:r w:rsidRPr="00D067D4">
        <w:rPr>
          <w:rFonts w:ascii="Arial" w:hAnsi="Arial" w:cs="Arial"/>
          <w:iCs/>
          <w:color w:val="000000"/>
          <w:sz w:val="24"/>
          <w:szCs w:val="24"/>
        </w:rPr>
        <w:t>At Harvey Norman Holdings Ltd (Australia: General Merchandise Stores), LPPI voted against the re-election of two incumbent non-independent directors where the board</w:t>
      </w:r>
      <w:r w:rsidRPr="00D067D4">
        <w:rPr>
          <w:rFonts w:ascii="Arial" w:hAnsi="Arial" w:cs="Arial"/>
          <w:iCs/>
          <w:color w:val="000000"/>
          <w:sz w:val="24"/>
          <w:szCs w:val="24"/>
        </w:rPr>
        <w:t xml:space="preserve"> is not majority independent. One of the incumbents (judged to be non-independent on the basis of excessive tenure) is the Chair of the Remuneration Committee. (Result: 28.4% against the Chair of RemCom and 15.1% against the other incumbent).  </w:t>
      </w:r>
    </w:p>
    <w:p w:rsidR="009C10A1" w:rsidRPr="00D067D4" w:rsidRDefault="0084045D" w:rsidP="009C10A1">
      <w:pPr>
        <w:spacing w:after="0" w:line="240" w:lineRule="auto"/>
        <w:rPr>
          <w:rFonts w:ascii="Arial" w:hAnsi="Arial" w:cs="Arial"/>
          <w:iCs/>
          <w:color w:val="000000"/>
          <w:sz w:val="24"/>
          <w:szCs w:val="24"/>
        </w:rPr>
      </w:pPr>
    </w:p>
    <w:p w:rsidR="009C10A1" w:rsidRPr="00D067D4" w:rsidRDefault="0084045D" w:rsidP="009C10A1">
      <w:pPr>
        <w:spacing w:after="0" w:line="240" w:lineRule="auto"/>
        <w:rPr>
          <w:rFonts w:ascii="Arial" w:hAnsi="Arial" w:cs="Arial"/>
          <w:iCs/>
          <w:color w:val="000000"/>
          <w:sz w:val="24"/>
          <w:szCs w:val="24"/>
        </w:rPr>
      </w:pPr>
      <w:r w:rsidRPr="00D067D4">
        <w:rPr>
          <w:rFonts w:ascii="Arial" w:hAnsi="Arial" w:cs="Arial"/>
          <w:iCs/>
          <w:color w:val="000000"/>
          <w:sz w:val="24"/>
          <w:szCs w:val="24"/>
        </w:rPr>
        <w:t>At Commonw</w:t>
      </w:r>
      <w:r w:rsidRPr="00D067D4">
        <w:rPr>
          <w:rFonts w:ascii="Arial" w:hAnsi="Arial" w:cs="Arial"/>
          <w:iCs/>
          <w:color w:val="000000"/>
          <w:sz w:val="24"/>
          <w:szCs w:val="24"/>
        </w:rPr>
        <w:t>ealth Bank of Australia (Diversified Banks), in place of the Chair (who was not up for re-election) LPPI opposed the re-election of two other incumbent board members in response to severe failings in the prevention of money laundering through its Australia</w:t>
      </w:r>
      <w:r w:rsidRPr="00D067D4">
        <w:rPr>
          <w:rFonts w:ascii="Arial" w:hAnsi="Arial" w:cs="Arial"/>
          <w:iCs/>
          <w:color w:val="000000"/>
          <w:sz w:val="24"/>
          <w:szCs w:val="24"/>
        </w:rPr>
        <w:t>n banking services. Reportedly this resulted in the largest ever civil penalty in Australian corporate history. (Result: 4.5% and 1.9% against).</w:t>
      </w:r>
    </w:p>
    <w:p w:rsidR="00D067D4" w:rsidRPr="00D067D4" w:rsidRDefault="0084045D" w:rsidP="00846783">
      <w:pPr>
        <w:pStyle w:val="treb"/>
        <w:numPr>
          <w:ilvl w:val="0"/>
          <w:numId w:val="0"/>
        </w:numPr>
        <w:spacing w:after="0"/>
        <w:rPr>
          <w:rFonts w:ascii="Arial" w:hAnsi="Arial"/>
          <w:b w:val="0"/>
          <w:bCs w:val="0"/>
          <w:sz w:val="24"/>
          <w:szCs w:val="24"/>
          <w:lang w:val="en-US"/>
        </w:rPr>
      </w:pPr>
    </w:p>
    <w:p w:rsidR="00846783" w:rsidRPr="00D067D4" w:rsidRDefault="0084045D" w:rsidP="00846783">
      <w:pPr>
        <w:pStyle w:val="treb"/>
        <w:numPr>
          <w:ilvl w:val="0"/>
          <w:numId w:val="0"/>
        </w:numPr>
        <w:spacing w:after="0"/>
        <w:rPr>
          <w:rFonts w:ascii="Arial" w:hAnsi="Arial"/>
          <w:b w:val="0"/>
          <w:sz w:val="24"/>
          <w:szCs w:val="24"/>
        </w:rPr>
      </w:pPr>
      <w:r w:rsidRPr="00D067D4">
        <w:rPr>
          <w:rFonts w:ascii="Arial" w:hAnsi="Arial"/>
          <w:b w:val="0"/>
          <w:sz w:val="24"/>
          <w:szCs w:val="24"/>
        </w:rPr>
        <w:t>Non-Salary Compensation</w:t>
      </w:r>
    </w:p>
    <w:p w:rsidR="00846783" w:rsidRPr="00D067D4" w:rsidRDefault="0084045D" w:rsidP="00846783">
      <w:pPr>
        <w:pStyle w:val="treb"/>
        <w:numPr>
          <w:ilvl w:val="0"/>
          <w:numId w:val="0"/>
        </w:numPr>
        <w:spacing w:after="0"/>
        <w:rPr>
          <w:rFonts w:ascii="Arial" w:hAnsi="Arial"/>
          <w:b w:val="0"/>
          <w:sz w:val="24"/>
          <w:szCs w:val="24"/>
        </w:rPr>
      </w:pPr>
    </w:p>
    <w:p w:rsidR="00530D01" w:rsidRPr="00D067D4" w:rsidRDefault="0084045D" w:rsidP="00377129">
      <w:pPr>
        <w:spacing w:after="0" w:line="240" w:lineRule="auto"/>
        <w:rPr>
          <w:rFonts w:ascii="Arial" w:hAnsi="Arial" w:cs="Arial"/>
          <w:iCs/>
          <w:color w:val="000000"/>
          <w:sz w:val="24"/>
          <w:szCs w:val="24"/>
        </w:rPr>
      </w:pPr>
      <w:r w:rsidRPr="00D067D4">
        <w:rPr>
          <w:rFonts w:ascii="Arial" w:hAnsi="Arial" w:cs="Arial"/>
          <w:iCs/>
          <w:color w:val="000000"/>
          <w:sz w:val="24"/>
          <w:szCs w:val="24"/>
        </w:rPr>
        <w:t>Management proposals on compensation arrangements prompted 19 opposition votes. These</w:t>
      </w:r>
      <w:r w:rsidRPr="00D067D4">
        <w:rPr>
          <w:rFonts w:ascii="Arial" w:hAnsi="Arial" w:cs="Arial"/>
          <w:iCs/>
          <w:color w:val="000000"/>
          <w:sz w:val="24"/>
          <w:szCs w:val="24"/>
        </w:rPr>
        <w:t xml:space="preserve"> were in response to a lack of transparency around performance conditions, poor alignment of performance conditions with shareholder interests, and variable pay terms considered to be excessive. </w:t>
      </w:r>
    </w:p>
    <w:p w:rsidR="00377129" w:rsidRPr="00D067D4" w:rsidRDefault="0084045D" w:rsidP="00377129">
      <w:pPr>
        <w:spacing w:after="0" w:line="240" w:lineRule="auto"/>
        <w:rPr>
          <w:rFonts w:ascii="Arial" w:hAnsi="Arial" w:cs="Arial"/>
          <w:iCs/>
          <w:color w:val="000000"/>
          <w:sz w:val="24"/>
          <w:szCs w:val="24"/>
        </w:rPr>
      </w:pPr>
    </w:p>
    <w:p w:rsidR="00A8234D" w:rsidRPr="00D067D4" w:rsidRDefault="0084045D" w:rsidP="00377129">
      <w:pPr>
        <w:spacing w:after="0" w:line="240" w:lineRule="auto"/>
        <w:rPr>
          <w:rFonts w:ascii="Arial" w:hAnsi="Arial" w:cs="Arial"/>
          <w:iCs/>
          <w:color w:val="000000"/>
          <w:sz w:val="24"/>
          <w:szCs w:val="24"/>
        </w:rPr>
      </w:pPr>
      <w:r w:rsidRPr="00D067D4">
        <w:rPr>
          <w:rFonts w:ascii="Arial" w:hAnsi="Arial" w:cs="Arial"/>
          <w:iCs/>
          <w:color w:val="000000"/>
          <w:sz w:val="24"/>
          <w:szCs w:val="24"/>
        </w:rPr>
        <w:t xml:space="preserve">At Wesfarmers Ltd (Australia: General Merchandise Stores) </w:t>
      </w:r>
      <w:r w:rsidRPr="00D067D4">
        <w:rPr>
          <w:rFonts w:ascii="Arial" w:hAnsi="Arial" w:cs="Arial"/>
          <w:iCs/>
          <w:color w:val="000000"/>
          <w:sz w:val="24"/>
          <w:szCs w:val="24"/>
        </w:rPr>
        <w:t>LPPI voted against the remuneration report. This reflected concerns relating to a remuneration structure which produces a high quantum of CEO remuneration (2.25 times peer median), has poor disclosure of performance targets, and uses the same performance m</w:t>
      </w:r>
      <w:r w:rsidRPr="00D067D4">
        <w:rPr>
          <w:rFonts w:ascii="Arial" w:hAnsi="Arial" w:cs="Arial"/>
          <w:iCs/>
          <w:color w:val="000000"/>
          <w:sz w:val="24"/>
          <w:szCs w:val="24"/>
        </w:rPr>
        <w:t xml:space="preserve">easure across two different aspects of remuneration. (Result: 21.4% against). </w:t>
      </w:r>
    </w:p>
    <w:p w:rsidR="00377129" w:rsidRPr="00D067D4" w:rsidRDefault="0084045D" w:rsidP="00377129">
      <w:pPr>
        <w:spacing w:after="0" w:line="240" w:lineRule="auto"/>
        <w:rPr>
          <w:rFonts w:ascii="Arial" w:hAnsi="Arial" w:cs="Arial"/>
          <w:iCs/>
          <w:color w:val="000000"/>
          <w:sz w:val="24"/>
          <w:szCs w:val="24"/>
        </w:rPr>
      </w:pPr>
    </w:p>
    <w:p w:rsidR="00A8234D" w:rsidRPr="00D067D4" w:rsidRDefault="0084045D" w:rsidP="00377129">
      <w:pPr>
        <w:spacing w:after="0" w:line="240" w:lineRule="auto"/>
        <w:rPr>
          <w:rFonts w:ascii="Arial" w:hAnsi="Arial" w:cs="Arial"/>
          <w:iCs/>
          <w:color w:val="000000"/>
          <w:sz w:val="24"/>
          <w:szCs w:val="24"/>
        </w:rPr>
      </w:pPr>
      <w:r w:rsidRPr="00D067D4">
        <w:rPr>
          <w:rFonts w:ascii="Arial" w:hAnsi="Arial" w:cs="Arial"/>
          <w:iCs/>
          <w:color w:val="000000"/>
          <w:sz w:val="24"/>
          <w:szCs w:val="24"/>
        </w:rPr>
        <w:t>At Goodman Group (Australia: Industrial Real Estate Investment Trust), LPPI voted against the remuneration report. This reflected a long-term incentive plan considered to be in</w:t>
      </w:r>
      <w:r w:rsidRPr="00D067D4">
        <w:rPr>
          <w:rFonts w:ascii="Arial" w:hAnsi="Arial" w:cs="Arial"/>
          <w:iCs/>
          <w:color w:val="000000"/>
          <w:sz w:val="24"/>
          <w:szCs w:val="24"/>
        </w:rPr>
        <w:t>sufficiently testing and excessive relative to the market median in similarly sized industry peers. Remuneration has been a consistent point of contention at Goodman where votes against the remuneration report have ranged between 24% and 45% from 2016-2019</w:t>
      </w:r>
      <w:r w:rsidRPr="00D067D4">
        <w:rPr>
          <w:rFonts w:ascii="Arial" w:hAnsi="Arial" w:cs="Arial"/>
          <w:iCs/>
          <w:color w:val="000000"/>
          <w:sz w:val="24"/>
          <w:szCs w:val="24"/>
        </w:rPr>
        <w:t xml:space="preserve">. Due to the continuation of problematic remuneration practices, LPPI opposed the re-election of the Chair of the Remuneration Committee. (Results: Remuneration Report – 16.2% against. Remuneration Committee Chair – 26.1% against). </w:t>
      </w:r>
    </w:p>
    <w:p w:rsidR="00377129" w:rsidRPr="00D067D4" w:rsidRDefault="0084045D" w:rsidP="00377129">
      <w:pPr>
        <w:spacing w:after="0" w:line="240" w:lineRule="auto"/>
        <w:rPr>
          <w:rFonts w:ascii="Arial" w:hAnsi="Arial" w:cs="Arial"/>
          <w:iCs/>
          <w:color w:val="000000"/>
          <w:sz w:val="24"/>
          <w:szCs w:val="24"/>
        </w:rPr>
      </w:pPr>
    </w:p>
    <w:p w:rsidR="000F1B41" w:rsidRPr="00D067D4" w:rsidRDefault="0084045D" w:rsidP="00C72616">
      <w:pPr>
        <w:spacing w:after="0" w:line="240" w:lineRule="auto"/>
        <w:rPr>
          <w:rFonts w:ascii="Arial" w:hAnsi="Arial" w:cs="Arial"/>
          <w:color w:val="000000"/>
          <w:sz w:val="24"/>
          <w:szCs w:val="24"/>
        </w:rPr>
      </w:pPr>
      <w:r w:rsidRPr="00D067D4">
        <w:rPr>
          <w:rFonts w:ascii="Arial" w:hAnsi="Arial" w:cs="Arial"/>
          <w:color w:val="000000"/>
          <w:sz w:val="24"/>
          <w:szCs w:val="24"/>
        </w:rPr>
        <w:t>Shareholder Proposals</w:t>
      </w:r>
    </w:p>
    <w:p w:rsidR="000F1B41" w:rsidRPr="00D067D4" w:rsidRDefault="0084045D" w:rsidP="00C72616">
      <w:pPr>
        <w:spacing w:after="0" w:line="240" w:lineRule="auto"/>
        <w:rPr>
          <w:rFonts w:ascii="Arial" w:hAnsi="Arial" w:cs="Arial"/>
          <w:color w:val="000000"/>
          <w:sz w:val="24"/>
          <w:szCs w:val="24"/>
        </w:rPr>
      </w:pPr>
    </w:p>
    <w:p w:rsidR="00403133" w:rsidRPr="00D067D4" w:rsidRDefault="0084045D" w:rsidP="00C72616">
      <w:pPr>
        <w:spacing w:after="0" w:line="240" w:lineRule="auto"/>
        <w:rPr>
          <w:rFonts w:ascii="Arial" w:hAnsi="Arial" w:cs="Arial"/>
          <w:color w:val="000000"/>
          <w:sz w:val="24"/>
          <w:szCs w:val="24"/>
        </w:rPr>
      </w:pPr>
      <w:r w:rsidRPr="00D067D4">
        <w:rPr>
          <w:rFonts w:ascii="Arial" w:hAnsi="Arial" w:cs="Arial"/>
          <w:color w:val="000000"/>
          <w:sz w:val="24"/>
          <w:szCs w:val="24"/>
        </w:rPr>
        <w:t xml:space="preserve">LPPI supported 7 shareholder proposals across 11 company meetings in Q4. </w:t>
      </w:r>
    </w:p>
    <w:p w:rsidR="00A8234D" w:rsidRPr="00D067D4" w:rsidRDefault="0084045D" w:rsidP="00A8234D">
      <w:pPr>
        <w:spacing w:after="0" w:line="240" w:lineRule="auto"/>
        <w:rPr>
          <w:rFonts w:ascii="Arial" w:eastAsia="Times New Roman" w:hAnsi="Arial" w:cs="Arial"/>
          <w:color w:val="000000"/>
          <w:sz w:val="24"/>
          <w:szCs w:val="24"/>
          <w:lang w:eastAsia="en-GB"/>
        </w:rPr>
      </w:pPr>
      <w:r w:rsidRPr="00D067D4">
        <w:rPr>
          <w:rFonts w:ascii="Arial" w:hAnsi="Arial" w:cs="Arial"/>
          <w:sz w:val="24"/>
          <w:szCs w:val="24"/>
        </w:rPr>
        <w:t>Two of the four resolutions LPPI did not support were proposals to amend company constitutions to enable shareholders to place resolutions on the agenda (</w:t>
      </w:r>
      <w:bookmarkStart w:id="1" w:name="_Hlk32478920"/>
      <w:r w:rsidRPr="00D067D4">
        <w:rPr>
          <w:rFonts w:ascii="Arial" w:eastAsia="Times New Roman" w:hAnsi="Arial" w:cs="Arial"/>
          <w:color w:val="000000"/>
          <w:sz w:val="24"/>
          <w:szCs w:val="24"/>
          <w:lang w:eastAsia="en-GB"/>
        </w:rPr>
        <w:t>Australia &amp; New Zealand Ban</w:t>
      </w:r>
      <w:r w:rsidRPr="00D067D4">
        <w:rPr>
          <w:rFonts w:ascii="Arial" w:eastAsia="Times New Roman" w:hAnsi="Arial" w:cs="Arial"/>
          <w:color w:val="000000"/>
          <w:sz w:val="24"/>
          <w:szCs w:val="24"/>
          <w:lang w:eastAsia="en-GB"/>
        </w:rPr>
        <w:t>king Group</w:t>
      </w:r>
      <w:bookmarkEnd w:id="1"/>
      <w:r w:rsidRPr="00D067D4">
        <w:rPr>
          <w:rFonts w:ascii="Arial" w:eastAsia="Times New Roman" w:hAnsi="Arial" w:cs="Arial"/>
          <w:color w:val="000000"/>
          <w:sz w:val="24"/>
          <w:szCs w:val="24"/>
          <w:lang w:eastAsia="en-GB"/>
        </w:rPr>
        <w:t>,</w:t>
      </w:r>
      <w:r w:rsidRPr="00D067D4">
        <w:rPr>
          <w:sz w:val="24"/>
          <w:szCs w:val="24"/>
        </w:rPr>
        <w:t xml:space="preserve"> </w:t>
      </w:r>
      <w:r w:rsidRPr="00D067D4">
        <w:rPr>
          <w:rFonts w:ascii="Arial" w:eastAsia="Times New Roman" w:hAnsi="Arial" w:cs="Arial"/>
          <w:color w:val="000000"/>
          <w:sz w:val="24"/>
          <w:szCs w:val="24"/>
          <w:lang w:eastAsia="en-GB"/>
        </w:rPr>
        <w:t>National Australia Bank Limited).</w:t>
      </w:r>
      <w:r w:rsidRPr="00D067D4">
        <w:rPr>
          <w:rFonts w:ascii="Arial" w:hAnsi="Arial" w:cs="Arial"/>
          <w:sz w:val="24"/>
          <w:szCs w:val="24"/>
        </w:rPr>
        <w:t xml:space="preserve"> LPPI voted against the proposed changes which were broadly expressed and (if put into practice) would not be subject to any legal or regulatory supervision of the appropriateness of shareholder proposals arisin</w:t>
      </w:r>
      <w:r w:rsidRPr="00D067D4">
        <w:rPr>
          <w:rFonts w:ascii="Arial" w:hAnsi="Arial" w:cs="Arial"/>
          <w:sz w:val="24"/>
          <w:szCs w:val="24"/>
        </w:rPr>
        <w:t>g.</w:t>
      </w:r>
    </w:p>
    <w:p w:rsidR="00A8234D" w:rsidRPr="00D067D4" w:rsidRDefault="0084045D" w:rsidP="00A8234D">
      <w:pPr>
        <w:spacing w:after="0" w:line="240" w:lineRule="auto"/>
        <w:rPr>
          <w:rFonts w:ascii="Arial" w:hAnsi="Arial" w:cs="Arial"/>
          <w:sz w:val="24"/>
          <w:szCs w:val="24"/>
        </w:rPr>
      </w:pPr>
    </w:p>
    <w:p w:rsidR="00A8234D" w:rsidRPr="00D067D4" w:rsidRDefault="0084045D" w:rsidP="00A8234D">
      <w:pPr>
        <w:spacing w:after="0" w:line="240" w:lineRule="auto"/>
        <w:rPr>
          <w:rFonts w:ascii="Arial" w:hAnsi="Arial" w:cs="Arial"/>
          <w:sz w:val="24"/>
          <w:szCs w:val="24"/>
        </w:rPr>
      </w:pPr>
      <w:r w:rsidRPr="00D067D4">
        <w:rPr>
          <w:rFonts w:ascii="Arial" w:hAnsi="Arial" w:cs="Arial"/>
          <w:sz w:val="24"/>
          <w:szCs w:val="24"/>
        </w:rPr>
        <w:t xml:space="preserve">LPPI supported two shareholder resolutions seeking greater transparency on the gender pay gap (at the AGM of Microsoft and of Oracle Corporation). At Oracle the resolution followed a complaint filed by the US Department of Labor alleging </w:t>
      </w:r>
      <w:r w:rsidRPr="00D067D4">
        <w:rPr>
          <w:rFonts w:ascii="Arial" w:hAnsi="Arial" w:cs="Arial"/>
          <w:sz w:val="24"/>
          <w:szCs w:val="24"/>
        </w:rPr>
        <w:lastRenderedPageBreak/>
        <w:t>discrimination</w:t>
      </w:r>
      <w:r w:rsidRPr="00D067D4">
        <w:rPr>
          <w:rFonts w:ascii="Arial" w:hAnsi="Arial" w:cs="Arial"/>
          <w:sz w:val="24"/>
          <w:szCs w:val="24"/>
        </w:rPr>
        <w:t xml:space="preserve"> in compensation practices. (Results: Microsoft: 29.6% for, Oracle: 34.8% for).</w:t>
      </w:r>
    </w:p>
    <w:p w:rsidR="00A8234D" w:rsidRPr="00D067D4" w:rsidRDefault="0084045D" w:rsidP="00A8234D">
      <w:pPr>
        <w:spacing w:after="0" w:line="240" w:lineRule="auto"/>
        <w:rPr>
          <w:rFonts w:ascii="Arial" w:hAnsi="Arial" w:cs="Arial"/>
          <w:sz w:val="24"/>
          <w:szCs w:val="24"/>
        </w:rPr>
      </w:pPr>
    </w:p>
    <w:p w:rsidR="00846783" w:rsidRPr="00D067D4" w:rsidRDefault="0084045D" w:rsidP="00402BD7">
      <w:pPr>
        <w:spacing w:after="0" w:line="240" w:lineRule="auto"/>
        <w:rPr>
          <w:rFonts w:ascii="Arial" w:hAnsi="Arial" w:cs="Arial"/>
          <w:sz w:val="24"/>
          <w:szCs w:val="24"/>
        </w:rPr>
      </w:pPr>
      <w:r w:rsidRPr="00D067D4">
        <w:rPr>
          <w:rFonts w:ascii="Arial" w:hAnsi="Arial" w:cs="Arial"/>
          <w:sz w:val="24"/>
          <w:szCs w:val="24"/>
        </w:rPr>
        <w:t xml:space="preserve">LPPI supported a resolution at Cintas Corporation (USA: Diversified Support Services) seeking greater transparency about the company’s political contributions. The proposal </w:t>
      </w:r>
      <w:r w:rsidRPr="00D067D4">
        <w:rPr>
          <w:rFonts w:ascii="Arial" w:hAnsi="Arial" w:cs="Arial"/>
          <w:sz w:val="24"/>
          <w:szCs w:val="24"/>
        </w:rPr>
        <w:t xml:space="preserve">called for annual reporting on corporate electoral expenditure to improve information and bring Cintas into </w:t>
      </w:r>
      <w:r w:rsidRPr="00D067D4">
        <w:rPr>
          <w:rFonts w:ascii="Arial" w:hAnsi="Arial" w:cs="Arial"/>
          <w:color w:val="000000"/>
          <w:sz w:val="24"/>
          <w:szCs w:val="24"/>
        </w:rPr>
        <w:t>closer alignment with leading companies which disclose detailed policies governing political expenditures from corporate funds.</w:t>
      </w:r>
      <w:r w:rsidRPr="00D067D4">
        <w:rPr>
          <w:rFonts w:ascii="Arial" w:hAnsi="Arial" w:cs="Arial"/>
          <w:sz w:val="24"/>
          <w:szCs w:val="24"/>
        </w:rPr>
        <w:t xml:space="preserve"> </w:t>
      </w:r>
      <w:r w:rsidRPr="00D067D4">
        <w:rPr>
          <w:rFonts w:ascii="Arial" w:hAnsi="Arial" w:cs="Arial"/>
          <w:color w:val="000000"/>
          <w:sz w:val="24"/>
          <w:szCs w:val="24"/>
        </w:rPr>
        <w:t>(Result: 32.3% For).</w:t>
      </w:r>
    </w:p>
    <w:p w:rsidR="00E82EC0" w:rsidRPr="00D067D4" w:rsidRDefault="0084045D" w:rsidP="00402BD7">
      <w:pPr>
        <w:spacing w:after="0" w:line="240" w:lineRule="auto"/>
        <w:rPr>
          <w:rFonts w:ascii="Arial" w:hAnsi="Arial" w:cs="Arial"/>
          <w:color w:val="000000"/>
          <w:sz w:val="24"/>
          <w:szCs w:val="24"/>
        </w:rPr>
      </w:pPr>
    </w:p>
    <w:p w:rsidR="00846783" w:rsidRPr="00D067D4" w:rsidRDefault="0084045D" w:rsidP="00846783">
      <w:pPr>
        <w:pStyle w:val="treb"/>
        <w:numPr>
          <w:ilvl w:val="0"/>
          <w:numId w:val="2"/>
        </w:numPr>
        <w:spacing w:after="0"/>
        <w:ind w:left="0" w:firstLine="0"/>
        <w:rPr>
          <w:rFonts w:ascii="Arial" w:hAnsi="Arial"/>
          <w:color w:val="44546A" w:themeColor="text2"/>
          <w:sz w:val="24"/>
          <w:szCs w:val="24"/>
        </w:rPr>
      </w:pPr>
      <w:r w:rsidRPr="00D067D4">
        <w:rPr>
          <w:rFonts w:ascii="Arial" w:hAnsi="Arial"/>
          <w:color w:val="44546A" w:themeColor="text2"/>
          <w:sz w:val="24"/>
          <w:szCs w:val="24"/>
        </w:rPr>
        <w:t>Engagement through Partnerships</w:t>
      </w:r>
    </w:p>
    <w:p w:rsidR="001155B8" w:rsidRPr="00D067D4" w:rsidRDefault="0084045D" w:rsidP="001155B8">
      <w:pPr>
        <w:pStyle w:val="treb"/>
        <w:numPr>
          <w:ilvl w:val="0"/>
          <w:numId w:val="0"/>
        </w:numPr>
        <w:spacing w:after="0"/>
        <w:ind w:left="720" w:hanging="360"/>
        <w:rPr>
          <w:rFonts w:ascii="Arial" w:hAnsi="Arial"/>
          <w:color w:val="44546A" w:themeColor="text2"/>
          <w:sz w:val="24"/>
          <w:szCs w:val="24"/>
        </w:rPr>
      </w:pPr>
    </w:p>
    <w:p w:rsidR="00175DA3" w:rsidRPr="00D067D4" w:rsidRDefault="0084045D" w:rsidP="009E2343">
      <w:pPr>
        <w:spacing w:after="0" w:line="240" w:lineRule="auto"/>
        <w:rPr>
          <w:rFonts w:ascii="Arial" w:hAnsi="Arial" w:cs="Arial"/>
          <w:b/>
          <w:bCs/>
          <w:sz w:val="24"/>
          <w:szCs w:val="24"/>
        </w:rPr>
      </w:pPr>
      <w:r w:rsidRPr="00D067D4">
        <w:rPr>
          <w:rFonts w:ascii="Arial" w:hAnsi="Arial" w:cs="Arial"/>
          <w:b/>
          <w:bCs/>
          <w:sz w:val="24"/>
          <w:szCs w:val="24"/>
        </w:rPr>
        <w:t>Appointment of an Engagement Services Provider</w:t>
      </w:r>
    </w:p>
    <w:p w:rsidR="00175DA3" w:rsidRPr="00D067D4" w:rsidRDefault="0084045D" w:rsidP="009E2343">
      <w:pPr>
        <w:spacing w:after="0" w:line="240" w:lineRule="auto"/>
        <w:rPr>
          <w:rFonts w:ascii="Arial" w:hAnsi="Arial" w:cs="Arial"/>
          <w:sz w:val="24"/>
          <w:szCs w:val="24"/>
        </w:rPr>
      </w:pPr>
    </w:p>
    <w:p w:rsidR="00DB2C5E" w:rsidRPr="00D067D4" w:rsidRDefault="0084045D" w:rsidP="009E2343">
      <w:pPr>
        <w:spacing w:after="0" w:line="240" w:lineRule="auto"/>
        <w:rPr>
          <w:rFonts w:ascii="Arial" w:hAnsi="Arial" w:cs="Arial"/>
          <w:sz w:val="24"/>
          <w:szCs w:val="24"/>
        </w:rPr>
      </w:pPr>
      <w:r w:rsidRPr="00D067D4">
        <w:rPr>
          <w:rFonts w:ascii="Arial" w:hAnsi="Arial" w:cs="Arial"/>
          <w:sz w:val="24"/>
          <w:szCs w:val="24"/>
        </w:rPr>
        <w:t>LPPI is a responsible investor on behalf of client pension funds and takes the responsibilities of active asset ownership seriously. We recognise that monitoring and engagem</w:t>
      </w:r>
      <w:r w:rsidRPr="00D067D4">
        <w:rPr>
          <w:rFonts w:ascii="Arial" w:hAnsi="Arial" w:cs="Arial"/>
          <w:sz w:val="24"/>
          <w:szCs w:val="24"/>
        </w:rPr>
        <w:t xml:space="preserve">ent protect long term value and our ongoing efforts include both direct engagements with companies and participation in targeted collaborations alongside other progressive investors. </w:t>
      </w:r>
    </w:p>
    <w:p w:rsidR="00DB2C5E" w:rsidRPr="00D067D4" w:rsidRDefault="0084045D" w:rsidP="009E2343">
      <w:pPr>
        <w:spacing w:after="0" w:line="240" w:lineRule="auto"/>
        <w:rPr>
          <w:rFonts w:ascii="Arial" w:hAnsi="Arial" w:cs="Arial"/>
          <w:sz w:val="24"/>
          <w:szCs w:val="24"/>
        </w:rPr>
      </w:pPr>
    </w:p>
    <w:p w:rsidR="00495248" w:rsidRPr="00D067D4" w:rsidRDefault="0084045D" w:rsidP="009E2343">
      <w:pPr>
        <w:spacing w:after="0" w:line="240" w:lineRule="auto"/>
        <w:rPr>
          <w:rFonts w:ascii="Arial" w:hAnsi="Arial" w:cs="Arial"/>
          <w:sz w:val="24"/>
          <w:szCs w:val="24"/>
        </w:rPr>
      </w:pPr>
      <w:r w:rsidRPr="00D067D4">
        <w:rPr>
          <w:rFonts w:ascii="Arial" w:hAnsi="Arial" w:cs="Arial"/>
          <w:sz w:val="24"/>
          <w:szCs w:val="24"/>
        </w:rPr>
        <w:t>Engagement is a time consuming and resource intensive activity. The global nature and considerable scale of the listed portfolio LPPI is managing has prompted consideration of how to resource this commitment on an ongoing basis. After considering options o</w:t>
      </w:r>
      <w:r w:rsidRPr="00D067D4">
        <w:rPr>
          <w:rFonts w:ascii="Arial" w:hAnsi="Arial" w:cs="Arial"/>
          <w:sz w:val="24"/>
          <w:szCs w:val="24"/>
        </w:rPr>
        <w:t>ur solution is to work with an experienced external provider of engagement services whose expertise and capabilities will complement our in-house approach, extend its coverage and improve our transparency.</w:t>
      </w:r>
    </w:p>
    <w:p w:rsidR="00495248" w:rsidRPr="00D067D4" w:rsidRDefault="0084045D" w:rsidP="001155B8">
      <w:pPr>
        <w:autoSpaceDE w:val="0"/>
        <w:autoSpaceDN w:val="0"/>
        <w:adjustRightInd w:val="0"/>
        <w:spacing w:after="0"/>
        <w:rPr>
          <w:rFonts w:ascii="Arial" w:hAnsi="Arial"/>
          <w:color w:val="44546A" w:themeColor="text2"/>
          <w:sz w:val="24"/>
          <w:szCs w:val="24"/>
        </w:rPr>
      </w:pPr>
    </w:p>
    <w:p w:rsidR="002F6E8C" w:rsidRPr="00D067D4" w:rsidRDefault="0084045D" w:rsidP="002F6E8C">
      <w:pPr>
        <w:rPr>
          <w:rFonts w:ascii="Arial" w:hAnsi="Arial" w:cs="Arial"/>
          <w:sz w:val="24"/>
          <w:szCs w:val="24"/>
        </w:rPr>
      </w:pPr>
      <w:r w:rsidRPr="00D067D4">
        <w:rPr>
          <w:rFonts w:ascii="Arial" w:hAnsi="Arial" w:cs="Arial"/>
          <w:sz w:val="24"/>
          <w:szCs w:val="24"/>
        </w:rPr>
        <w:t>In January we completed a tender process using th</w:t>
      </w:r>
      <w:r w:rsidRPr="00D067D4">
        <w:rPr>
          <w:rFonts w:ascii="Arial" w:hAnsi="Arial" w:cs="Arial"/>
          <w:sz w:val="24"/>
          <w:szCs w:val="24"/>
        </w:rPr>
        <w:t>e National LGPS framework for Stewardship Services and appointed Robeco as our provider. A joint press release announcing the partnership gives further information on our collaboration to deliver an engagement strategy for the LPPI Global Equities Fund and</w:t>
      </w:r>
      <w:r w:rsidRPr="00D067D4">
        <w:rPr>
          <w:rFonts w:ascii="Arial" w:hAnsi="Arial" w:cs="Arial"/>
          <w:sz w:val="24"/>
          <w:szCs w:val="24"/>
        </w:rPr>
        <w:t xml:space="preserve"> LPPI Fixed Income Fund. </w:t>
      </w:r>
      <w:hyperlink r:id="rId10" w:history="1">
        <w:r w:rsidRPr="00D067D4">
          <w:rPr>
            <w:rStyle w:val="Hyperlink"/>
            <w:sz w:val="24"/>
            <w:szCs w:val="24"/>
          </w:rPr>
          <w:t>https://www.localpensionspartnership.org.uk/News-and-views/detail</w:t>
        </w:r>
        <w:r w:rsidRPr="00D067D4">
          <w:rPr>
            <w:rStyle w:val="Hyperlink"/>
            <w:sz w:val="24"/>
            <w:szCs w:val="24"/>
          </w:rPr>
          <w:t>s/LPP-partners-with-Robeco-to-support-engagement-activity-for-Global-Equities-Portfolio</w:t>
        </w:r>
      </w:hyperlink>
    </w:p>
    <w:p w:rsidR="00373EA8" w:rsidRPr="00D067D4" w:rsidRDefault="0084045D" w:rsidP="002F1280">
      <w:pPr>
        <w:spacing w:after="0" w:line="240" w:lineRule="auto"/>
        <w:rPr>
          <w:rFonts w:ascii="Arial" w:hAnsi="Arial" w:cs="Arial"/>
          <w:sz w:val="24"/>
          <w:szCs w:val="24"/>
        </w:rPr>
      </w:pPr>
      <w:r w:rsidRPr="00D067D4">
        <w:rPr>
          <w:rFonts w:ascii="Arial" w:hAnsi="Arial" w:cs="Arial"/>
          <w:sz w:val="24"/>
          <w:szCs w:val="24"/>
        </w:rPr>
        <w:t>Service take-on is currently underway for the new contract. We will share further information on the overall strategy and provide a first set of reporting on engagem</w:t>
      </w:r>
      <w:r w:rsidRPr="00D067D4">
        <w:rPr>
          <w:rFonts w:ascii="Arial" w:hAnsi="Arial" w:cs="Arial"/>
          <w:sz w:val="24"/>
          <w:szCs w:val="24"/>
        </w:rPr>
        <w:t xml:space="preserve">ent activities underway as part of LPPI’s RI report on Q1 2020. </w:t>
      </w:r>
    </w:p>
    <w:p w:rsidR="00846783" w:rsidRPr="00D067D4" w:rsidRDefault="0084045D" w:rsidP="00846783">
      <w:pPr>
        <w:autoSpaceDE w:val="0"/>
        <w:autoSpaceDN w:val="0"/>
        <w:adjustRightInd w:val="0"/>
        <w:spacing w:after="0"/>
        <w:rPr>
          <w:rFonts w:ascii="Arial" w:hAnsi="Arial" w:cs="Arial"/>
          <w:bCs/>
          <w:color w:val="000000" w:themeColor="text1"/>
          <w:sz w:val="24"/>
          <w:szCs w:val="24"/>
        </w:rPr>
      </w:pPr>
    </w:p>
    <w:p w:rsidR="00846783" w:rsidRPr="00D067D4" w:rsidRDefault="0084045D" w:rsidP="00846783">
      <w:pPr>
        <w:autoSpaceDE w:val="0"/>
        <w:autoSpaceDN w:val="0"/>
        <w:adjustRightInd w:val="0"/>
        <w:spacing w:after="0"/>
        <w:rPr>
          <w:rFonts w:ascii="Arial" w:hAnsi="Arial" w:cs="Arial"/>
          <w:b/>
          <w:bCs/>
          <w:color w:val="000000" w:themeColor="text1" w:themeShade="80"/>
          <w:sz w:val="24"/>
          <w:szCs w:val="24"/>
        </w:rPr>
      </w:pPr>
      <w:r w:rsidRPr="00D067D4">
        <w:rPr>
          <w:rFonts w:ascii="Arial" w:hAnsi="Arial" w:cs="Arial"/>
          <w:b/>
          <w:bCs/>
          <w:color w:val="000000" w:themeColor="text1" w:themeShade="80"/>
          <w:sz w:val="24"/>
          <w:szCs w:val="24"/>
        </w:rPr>
        <w:t>LAPFF</w:t>
      </w:r>
    </w:p>
    <w:p w:rsidR="00846783" w:rsidRPr="00D067D4" w:rsidRDefault="0084045D" w:rsidP="00846783">
      <w:pPr>
        <w:spacing w:after="0"/>
        <w:rPr>
          <w:rFonts w:ascii="Arial" w:hAnsi="Arial" w:cs="Arial"/>
          <w:bCs/>
          <w:color w:val="000000" w:themeColor="text1"/>
          <w:sz w:val="24"/>
          <w:szCs w:val="24"/>
        </w:rPr>
      </w:pPr>
    </w:p>
    <w:p w:rsidR="00846783" w:rsidRPr="00D067D4" w:rsidRDefault="0084045D" w:rsidP="00846783">
      <w:pPr>
        <w:spacing w:after="0"/>
        <w:rPr>
          <w:rFonts w:ascii="Arial" w:hAnsi="Arial" w:cs="Arial"/>
          <w:sz w:val="24"/>
          <w:szCs w:val="24"/>
        </w:rPr>
      </w:pPr>
      <w:r w:rsidRPr="00D067D4">
        <w:rPr>
          <w:rFonts w:ascii="Arial" w:hAnsi="Arial" w:cs="Arial"/>
          <w:snapToGrid w:val="0"/>
          <w:color w:val="000000" w:themeColor="text1" w:themeShade="80"/>
          <w:sz w:val="24"/>
          <w:szCs w:val="24"/>
        </w:rPr>
        <w:t xml:space="preserve">LAPFF has long been LCPF's preferred engagement partner. The Fund is a long-standing member of the Forum and the Head of Fund and Chair of the Pension Fund Committee currently sit on </w:t>
      </w:r>
      <w:r w:rsidRPr="00D067D4">
        <w:rPr>
          <w:rFonts w:ascii="Arial" w:hAnsi="Arial" w:cs="Arial"/>
          <w:snapToGrid w:val="0"/>
          <w:color w:val="000000" w:themeColor="text1" w:themeShade="80"/>
          <w:sz w:val="24"/>
          <w:szCs w:val="24"/>
        </w:rPr>
        <w:t>the LAPFF Executive.</w:t>
      </w:r>
    </w:p>
    <w:p w:rsidR="00846783" w:rsidRPr="00D067D4" w:rsidRDefault="0084045D" w:rsidP="00846783">
      <w:pPr>
        <w:contextualSpacing/>
        <w:rPr>
          <w:rFonts w:ascii="Arial" w:hAnsi="Arial" w:cs="Arial"/>
          <w:sz w:val="24"/>
          <w:szCs w:val="24"/>
        </w:rPr>
      </w:pPr>
    </w:p>
    <w:p w:rsidR="00AC735D" w:rsidRPr="00D067D4" w:rsidRDefault="0084045D" w:rsidP="00AC735D">
      <w:pPr>
        <w:contextualSpacing/>
        <w:rPr>
          <w:rFonts w:ascii="Arial" w:hAnsi="Arial" w:cs="Arial"/>
          <w:sz w:val="24"/>
          <w:szCs w:val="24"/>
        </w:rPr>
      </w:pPr>
      <w:r w:rsidRPr="00D067D4">
        <w:rPr>
          <w:rFonts w:ascii="Arial" w:hAnsi="Arial" w:cs="Arial"/>
          <w:sz w:val="24"/>
          <w:szCs w:val="24"/>
        </w:rPr>
        <w:t xml:space="preserve">The Forum reports on the engagement activities undertaken on behalf of member funds by publishing Quarterly Engagement Reports (QER). To enable Committee members to review the Forum’s engagement activity in Q4 2019 a link to the 2019 </w:t>
      </w:r>
      <w:r w:rsidRPr="00D067D4">
        <w:rPr>
          <w:rFonts w:ascii="Arial" w:hAnsi="Arial" w:cs="Arial"/>
          <w:sz w:val="24"/>
          <w:szCs w:val="24"/>
        </w:rPr>
        <w:t>QERs is provided below.</w:t>
      </w:r>
    </w:p>
    <w:p w:rsidR="00DE5B48" w:rsidRPr="00D067D4" w:rsidRDefault="0084045D" w:rsidP="00AC735D">
      <w:pPr>
        <w:contextualSpacing/>
        <w:rPr>
          <w:rFonts w:ascii="Arial" w:hAnsi="Arial" w:cs="Arial"/>
          <w:sz w:val="24"/>
          <w:szCs w:val="24"/>
        </w:rPr>
      </w:pPr>
      <w:hyperlink r:id="rId11" w:history="1">
        <w:r w:rsidRPr="00D067D4">
          <w:rPr>
            <w:rStyle w:val="Hyperlink"/>
            <w:sz w:val="24"/>
            <w:szCs w:val="24"/>
          </w:rPr>
          <w:t>http://www.lapfforum.org/publications/qrtly-engagement-reports/</w:t>
        </w:r>
      </w:hyperlink>
    </w:p>
    <w:p w:rsidR="00D77F13" w:rsidRPr="00D067D4" w:rsidRDefault="0084045D" w:rsidP="00846783">
      <w:pPr>
        <w:spacing w:after="0"/>
        <w:jc w:val="both"/>
        <w:rPr>
          <w:rFonts w:ascii="Arial" w:hAnsi="Arial" w:cs="Arial"/>
          <w:snapToGrid w:val="0"/>
          <w:color w:val="000000" w:themeColor="text1" w:themeShade="80"/>
          <w:sz w:val="24"/>
          <w:szCs w:val="24"/>
        </w:rPr>
      </w:pPr>
    </w:p>
    <w:p w:rsidR="00D77F13" w:rsidRPr="00D067D4" w:rsidRDefault="0084045D" w:rsidP="00846783">
      <w:pPr>
        <w:spacing w:after="0"/>
        <w:jc w:val="both"/>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At the most recent Quarterly Business Meeting (29 January 2020) LAPFF shared a draft Wo</w:t>
      </w:r>
      <w:r w:rsidRPr="00D067D4">
        <w:rPr>
          <w:rFonts w:ascii="Arial" w:hAnsi="Arial" w:cs="Arial"/>
          <w:snapToGrid w:val="0"/>
          <w:color w:val="000000" w:themeColor="text1" w:themeShade="80"/>
          <w:sz w:val="24"/>
          <w:szCs w:val="24"/>
        </w:rPr>
        <w:t>rkplan which identifies where work will focus in the year ahead. LGPS Funds who are Forum members are due to receive the Draft Workplan by email and have an opportunity to review and give feedback as well as to raise additional priorities they would like t</w:t>
      </w:r>
      <w:r w:rsidRPr="00D067D4">
        <w:rPr>
          <w:rFonts w:ascii="Arial" w:hAnsi="Arial" w:cs="Arial"/>
          <w:snapToGrid w:val="0"/>
          <w:color w:val="000000" w:themeColor="text1" w:themeShade="80"/>
          <w:sz w:val="24"/>
          <w:szCs w:val="24"/>
        </w:rPr>
        <w:t xml:space="preserve">o be considered. The Committee may wish to take this opportunity to review whether the Fund’s RI priorities are reflected in the Forum’s forward plan. </w:t>
      </w:r>
    </w:p>
    <w:p w:rsidR="002B35CD" w:rsidRPr="00D067D4" w:rsidRDefault="0084045D" w:rsidP="00846783">
      <w:pPr>
        <w:spacing w:after="0"/>
        <w:jc w:val="both"/>
        <w:rPr>
          <w:rFonts w:ascii="Arial" w:hAnsi="Arial" w:cs="Arial"/>
          <w:snapToGrid w:val="0"/>
          <w:color w:val="000000" w:themeColor="text1" w:themeShade="80"/>
          <w:sz w:val="24"/>
          <w:szCs w:val="24"/>
        </w:rPr>
      </w:pPr>
    </w:p>
    <w:p w:rsidR="00846783" w:rsidRPr="00D067D4" w:rsidRDefault="0084045D" w:rsidP="00846783">
      <w:pPr>
        <w:spacing w:after="0"/>
        <w:rPr>
          <w:rFonts w:ascii="Arial" w:hAnsi="Arial" w:cs="Arial"/>
          <w:b/>
          <w:bCs/>
          <w:snapToGrid w:val="0"/>
          <w:sz w:val="24"/>
          <w:szCs w:val="24"/>
        </w:rPr>
      </w:pPr>
      <w:r w:rsidRPr="00D067D4">
        <w:rPr>
          <w:rFonts w:ascii="Arial" w:hAnsi="Arial" w:cs="Arial"/>
          <w:b/>
          <w:bCs/>
          <w:snapToGrid w:val="0"/>
          <w:sz w:val="24"/>
          <w:szCs w:val="24"/>
        </w:rPr>
        <w:t>PLSA</w:t>
      </w:r>
    </w:p>
    <w:p w:rsidR="00846783" w:rsidRPr="00D067D4" w:rsidRDefault="0084045D" w:rsidP="00846783">
      <w:pPr>
        <w:shd w:val="clear" w:color="auto" w:fill="FFFFFF"/>
        <w:spacing w:after="0" w:line="240" w:lineRule="auto"/>
        <w:rPr>
          <w:rFonts w:ascii="Arial" w:eastAsia="Times New Roman" w:hAnsi="Arial" w:cs="Arial"/>
          <w:color w:val="444444"/>
          <w:sz w:val="24"/>
          <w:szCs w:val="24"/>
          <w:lang w:eastAsia="en-GB"/>
        </w:rPr>
      </w:pPr>
    </w:p>
    <w:p w:rsidR="00BC6D9E" w:rsidRPr="00D067D4" w:rsidRDefault="0084045D" w:rsidP="00BC6D9E">
      <w:pPr>
        <w:rPr>
          <w:rFonts w:ascii="Arial" w:hAnsi="Arial" w:cs="Arial"/>
          <w:sz w:val="24"/>
          <w:szCs w:val="24"/>
        </w:rPr>
      </w:pPr>
      <w:r w:rsidRPr="00D067D4">
        <w:rPr>
          <w:rFonts w:ascii="Arial" w:hAnsi="Arial" w:cs="Arial"/>
          <w:sz w:val="24"/>
          <w:szCs w:val="24"/>
        </w:rPr>
        <w:t xml:space="preserve">As reported to the last meeting, the Head of RI is a member of the Pensions and Lifetime Savings </w:t>
      </w:r>
      <w:r w:rsidRPr="00D067D4">
        <w:rPr>
          <w:rFonts w:ascii="Arial" w:hAnsi="Arial" w:cs="Arial"/>
          <w:sz w:val="24"/>
          <w:szCs w:val="24"/>
        </w:rPr>
        <w:t xml:space="preserve">Association’s Defined Benefit Scheme Stewardship Advisory Group (SAG) and has participated in a detailed review of the Association’s Corporate Governance Policy and Voting Guidelines as part of an investor working group.  </w:t>
      </w:r>
    </w:p>
    <w:p w:rsidR="006D43C8" w:rsidRPr="00D067D4" w:rsidRDefault="0084045D" w:rsidP="00971769">
      <w:pPr>
        <w:rPr>
          <w:rFonts w:ascii="Gotham XNarrow Bold" w:hAnsi="Gotham XNarrow Bold"/>
          <w:sz w:val="24"/>
          <w:szCs w:val="24"/>
        </w:rPr>
      </w:pPr>
      <w:r w:rsidRPr="00D067D4">
        <w:rPr>
          <w:rFonts w:ascii="Arial" w:hAnsi="Arial" w:cs="Arial"/>
          <w:sz w:val="24"/>
          <w:szCs w:val="24"/>
        </w:rPr>
        <w:t>As a result of the review the PLS</w:t>
      </w:r>
      <w:r w:rsidRPr="00D067D4">
        <w:rPr>
          <w:rFonts w:ascii="Arial" w:hAnsi="Arial" w:cs="Arial"/>
          <w:sz w:val="24"/>
          <w:szCs w:val="24"/>
        </w:rPr>
        <w:t>A will publish a new, reoriented document - PLSA Stewardship Guide and Voting Guidelines 2020 – in February 2020.</w:t>
      </w:r>
    </w:p>
    <w:p w:rsidR="00676CC7" w:rsidRPr="00D067D4" w:rsidRDefault="0084045D" w:rsidP="00971769">
      <w:pPr>
        <w:contextualSpacing/>
        <w:rPr>
          <w:rFonts w:ascii="Arial" w:hAnsi="Arial" w:cs="Arial"/>
          <w:b/>
          <w:bCs/>
          <w:sz w:val="24"/>
          <w:szCs w:val="24"/>
        </w:rPr>
      </w:pPr>
      <w:r w:rsidRPr="00D067D4">
        <w:rPr>
          <w:rFonts w:ascii="Arial" w:hAnsi="Arial" w:cs="Arial"/>
          <w:b/>
          <w:bCs/>
          <w:sz w:val="24"/>
          <w:szCs w:val="24"/>
        </w:rPr>
        <w:t>Principles of Responsible Investment (PRI)</w:t>
      </w:r>
    </w:p>
    <w:p w:rsidR="00676CC7" w:rsidRPr="00D067D4" w:rsidRDefault="0084045D" w:rsidP="00971769">
      <w:pPr>
        <w:contextualSpacing/>
        <w:rPr>
          <w:rFonts w:ascii="Arial" w:hAnsi="Arial" w:cs="Arial"/>
          <w:sz w:val="24"/>
          <w:szCs w:val="24"/>
        </w:rPr>
      </w:pPr>
    </w:p>
    <w:p w:rsidR="00AE0E7F" w:rsidRDefault="0084045D" w:rsidP="00971769">
      <w:pPr>
        <w:contextualSpacing/>
        <w:rPr>
          <w:rFonts w:ascii="Arial" w:hAnsi="Arial" w:cs="Arial"/>
          <w:sz w:val="24"/>
          <w:szCs w:val="24"/>
        </w:rPr>
      </w:pPr>
      <w:r w:rsidRPr="00D067D4">
        <w:rPr>
          <w:rFonts w:ascii="Arial" w:hAnsi="Arial" w:cs="Arial"/>
          <w:sz w:val="24"/>
          <w:szCs w:val="24"/>
        </w:rPr>
        <w:t xml:space="preserve">LPPI is in the process of assembling detailed annual reporting for submission to the PRI. </w:t>
      </w:r>
    </w:p>
    <w:p w:rsidR="00041395" w:rsidRPr="00D067D4" w:rsidRDefault="0084045D" w:rsidP="00971769">
      <w:pPr>
        <w:contextualSpacing/>
        <w:rPr>
          <w:rFonts w:ascii="Arial" w:hAnsi="Arial" w:cs="Arial"/>
          <w:sz w:val="24"/>
          <w:szCs w:val="24"/>
        </w:rPr>
      </w:pPr>
    </w:p>
    <w:p w:rsidR="00676CC7" w:rsidRPr="00D067D4" w:rsidRDefault="0084045D" w:rsidP="00971769">
      <w:pPr>
        <w:contextualSpacing/>
        <w:rPr>
          <w:rFonts w:ascii="Arial" w:hAnsi="Arial" w:cs="Arial"/>
          <w:sz w:val="24"/>
          <w:szCs w:val="24"/>
        </w:rPr>
      </w:pPr>
      <w:r w:rsidRPr="00D067D4">
        <w:rPr>
          <w:rFonts w:ascii="Arial" w:hAnsi="Arial" w:cs="Arial"/>
          <w:sz w:val="24"/>
          <w:szCs w:val="24"/>
        </w:rPr>
        <w:t>The PR</w:t>
      </w:r>
      <w:r w:rsidRPr="00D067D4">
        <w:rPr>
          <w:rFonts w:ascii="Arial" w:hAnsi="Arial" w:cs="Arial"/>
          <w:sz w:val="24"/>
          <w:szCs w:val="24"/>
        </w:rPr>
        <w:t>I’s online reporting platform is open from the middle of January until 31 March each year for signatories to compile and submit the extensive content required. LPPI’s reporting period is from 1</w:t>
      </w:r>
      <w:r w:rsidRPr="00D067D4">
        <w:rPr>
          <w:rFonts w:ascii="Arial" w:hAnsi="Arial" w:cs="Arial"/>
          <w:sz w:val="24"/>
          <w:szCs w:val="24"/>
          <w:vertAlign w:val="superscript"/>
        </w:rPr>
        <w:t>st</w:t>
      </w:r>
      <w:r w:rsidRPr="00D067D4">
        <w:rPr>
          <w:rFonts w:ascii="Arial" w:hAnsi="Arial" w:cs="Arial"/>
          <w:sz w:val="24"/>
          <w:szCs w:val="24"/>
        </w:rPr>
        <w:t xml:space="preserve"> Jan to 31</w:t>
      </w:r>
      <w:r w:rsidRPr="00D067D4">
        <w:rPr>
          <w:rFonts w:ascii="Arial" w:hAnsi="Arial" w:cs="Arial"/>
          <w:sz w:val="24"/>
          <w:szCs w:val="24"/>
          <w:vertAlign w:val="superscript"/>
        </w:rPr>
        <w:t>st</w:t>
      </w:r>
      <w:r w:rsidRPr="00D067D4">
        <w:rPr>
          <w:rFonts w:ascii="Arial" w:hAnsi="Arial" w:cs="Arial"/>
          <w:sz w:val="24"/>
          <w:szCs w:val="24"/>
        </w:rPr>
        <w:t xml:space="preserve"> December each year. In due course the informatio</w:t>
      </w:r>
      <w:r w:rsidRPr="00D067D4">
        <w:rPr>
          <w:rFonts w:ascii="Arial" w:hAnsi="Arial" w:cs="Arial"/>
          <w:sz w:val="24"/>
          <w:szCs w:val="24"/>
        </w:rPr>
        <w:t>n LPPI submits will feature in a Transparency Report publicly available from the PRI website. Separately LPPI will receive a private Assessment Report which evaluates our progress (compared with our first reporting submitted in March 2019) and our position</w:t>
      </w:r>
      <w:r w:rsidRPr="00D067D4">
        <w:rPr>
          <w:rFonts w:ascii="Arial" w:hAnsi="Arial" w:cs="Arial"/>
          <w:sz w:val="24"/>
          <w:szCs w:val="24"/>
        </w:rPr>
        <w:t xml:space="preserve"> relative to a comparable peer group.  </w:t>
      </w:r>
    </w:p>
    <w:p w:rsidR="00676CC7" w:rsidRPr="00D067D4" w:rsidRDefault="0084045D" w:rsidP="00971769">
      <w:pPr>
        <w:contextualSpacing/>
        <w:rPr>
          <w:rFonts w:ascii="Arial" w:hAnsi="Arial" w:cs="Arial"/>
          <w:sz w:val="24"/>
          <w:szCs w:val="24"/>
        </w:rPr>
      </w:pPr>
      <w:r w:rsidRPr="00D067D4">
        <w:rPr>
          <w:rFonts w:ascii="Arial" w:hAnsi="Arial" w:cs="Arial"/>
          <w:sz w:val="24"/>
          <w:szCs w:val="24"/>
        </w:rPr>
        <w:t xml:space="preserve"> </w:t>
      </w:r>
    </w:p>
    <w:p w:rsidR="000D2E82" w:rsidRPr="00D067D4" w:rsidRDefault="0084045D" w:rsidP="000D2E82">
      <w:pPr>
        <w:spacing w:after="0"/>
        <w:contextualSpacing/>
        <w:rPr>
          <w:rFonts w:ascii="Arial" w:hAnsi="Arial" w:cs="Arial"/>
          <w:sz w:val="24"/>
          <w:szCs w:val="24"/>
        </w:rPr>
      </w:pPr>
      <w:r w:rsidRPr="00D067D4">
        <w:rPr>
          <w:rFonts w:ascii="Arial" w:hAnsi="Arial" w:cs="Arial"/>
          <w:sz w:val="24"/>
          <w:szCs w:val="24"/>
        </w:rPr>
        <w:t xml:space="preserve">LPPI has supported an investor initiative co-ordinated by the PRI which opposes plans by the US Securities and Exchange Commission (SEC) to </w:t>
      </w:r>
    </w:p>
    <w:p w:rsidR="00D067D4" w:rsidRPr="00D067D4" w:rsidRDefault="0084045D" w:rsidP="000D2E82">
      <w:pPr>
        <w:spacing w:after="0"/>
        <w:contextualSpacing/>
        <w:rPr>
          <w:rFonts w:ascii="Arial" w:hAnsi="Arial" w:cs="Arial"/>
          <w:sz w:val="24"/>
          <w:szCs w:val="24"/>
        </w:rPr>
      </w:pPr>
    </w:p>
    <w:p w:rsidR="000D2E82" w:rsidRPr="00D067D4" w:rsidRDefault="0084045D" w:rsidP="00A42778">
      <w:pPr>
        <w:pStyle w:val="Default"/>
        <w:numPr>
          <w:ilvl w:val="0"/>
          <w:numId w:val="21"/>
        </w:numPr>
        <w:rPr>
          <w:rFonts w:ascii="Arial" w:eastAsiaTheme="minorHAnsi" w:hAnsi="Arial" w:cs="Arial"/>
        </w:rPr>
      </w:pPr>
      <w:r w:rsidRPr="00D067D4">
        <w:rPr>
          <w:rFonts w:ascii="Arial" w:hAnsi="Arial" w:cs="Arial"/>
        </w:rPr>
        <w:t>change current rules around shareholder proposals at company meetings (b</w:t>
      </w:r>
      <w:r w:rsidRPr="00D067D4">
        <w:rPr>
          <w:rFonts w:ascii="Arial" w:hAnsi="Arial" w:cs="Arial"/>
        </w:rPr>
        <w:t>y increasing the ownership requirements and percentage vote a proposal must receive to be resubmitted, making it more difficult to submit and sustain shareholder proposals).</w:t>
      </w:r>
    </w:p>
    <w:p w:rsidR="00BD6C64" w:rsidRPr="00D067D4" w:rsidRDefault="0084045D" w:rsidP="002F764C">
      <w:pPr>
        <w:pStyle w:val="Default"/>
        <w:numPr>
          <w:ilvl w:val="0"/>
          <w:numId w:val="21"/>
        </w:numPr>
        <w:contextualSpacing/>
        <w:rPr>
          <w:rFonts w:ascii="Arial" w:hAnsi="Arial" w:cs="Arial"/>
        </w:rPr>
      </w:pPr>
      <w:r w:rsidRPr="00D067D4">
        <w:rPr>
          <w:rFonts w:ascii="Arial" w:hAnsi="Arial" w:cs="Arial"/>
        </w:rPr>
        <w:t xml:space="preserve">Remove the independence of proxy voting advisers by requiring their voting recommendations to be reviewed by and commented on by companies before investors receive them. </w:t>
      </w:r>
    </w:p>
    <w:p w:rsidR="00D067D4" w:rsidRPr="00D067D4" w:rsidRDefault="0084045D" w:rsidP="00D067D4">
      <w:pPr>
        <w:pStyle w:val="Default"/>
        <w:contextualSpacing/>
        <w:rPr>
          <w:rFonts w:ascii="Arial" w:hAnsi="Arial" w:cs="Arial"/>
        </w:rPr>
      </w:pPr>
    </w:p>
    <w:p w:rsidR="006F1E35" w:rsidRPr="00D067D4" w:rsidRDefault="0084045D" w:rsidP="00363355">
      <w:pPr>
        <w:contextualSpacing/>
        <w:rPr>
          <w:rFonts w:ascii="Arial" w:hAnsi="Arial" w:cs="Arial"/>
          <w:color w:val="FF0000"/>
          <w:sz w:val="24"/>
          <w:szCs w:val="24"/>
        </w:rPr>
      </w:pPr>
      <w:r w:rsidRPr="00D067D4">
        <w:rPr>
          <w:rFonts w:ascii="Arial" w:hAnsi="Arial" w:cs="Arial"/>
          <w:sz w:val="24"/>
          <w:szCs w:val="24"/>
        </w:rPr>
        <w:t>The PRI’s investor letter to the SEC (</w:t>
      </w:r>
      <w:r w:rsidRPr="00F81B67">
        <w:rPr>
          <w:rFonts w:ascii="Arial" w:hAnsi="Arial" w:cs="Arial"/>
          <w:b/>
          <w:sz w:val="24"/>
          <w:szCs w:val="24"/>
        </w:rPr>
        <w:t>A</w:t>
      </w:r>
      <w:r>
        <w:rPr>
          <w:rFonts w:ascii="Arial" w:hAnsi="Arial" w:cs="Arial"/>
          <w:b/>
          <w:sz w:val="24"/>
          <w:szCs w:val="24"/>
        </w:rPr>
        <w:t>ppendix B</w:t>
      </w:r>
      <w:bookmarkStart w:id="2" w:name="_GoBack"/>
      <w:bookmarkEnd w:id="2"/>
      <w:r>
        <w:rPr>
          <w:rFonts w:ascii="Arial" w:hAnsi="Arial" w:cs="Arial"/>
          <w:sz w:val="24"/>
          <w:szCs w:val="24"/>
        </w:rPr>
        <w:t xml:space="preserve"> </w:t>
      </w:r>
      <w:r w:rsidRPr="00D067D4">
        <w:rPr>
          <w:rFonts w:ascii="Arial" w:hAnsi="Arial" w:cs="Arial"/>
          <w:sz w:val="24"/>
          <w:szCs w:val="24"/>
        </w:rPr>
        <w:t xml:space="preserve">) was signed by LPPI and provides further details on the issues and consequences the SEC is encouraged to avoid. </w:t>
      </w:r>
    </w:p>
    <w:p w:rsidR="006F1E35" w:rsidRPr="00D067D4" w:rsidRDefault="0084045D" w:rsidP="00363355">
      <w:pPr>
        <w:contextualSpacing/>
        <w:rPr>
          <w:rFonts w:ascii="Arial" w:hAnsi="Arial" w:cs="Arial"/>
          <w:color w:val="FF0000"/>
          <w:sz w:val="24"/>
          <w:szCs w:val="24"/>
        </w:rPr>
      </w:pPr>
    </w:p>
    <w:p w:rsidR="00BD6C64" w:rsidRPr="00D067D4" w:rsidRDefault="0084045D" w:rsidP="00363355">
      <w:pPr>
        <w:contextualSpacing/>
        <w:rPr>
          <w:rFonts w:ascii="Arial" w:hAnsi="Arial" w:cs="Arial"/>
          <w:sz w:val="24"/>
          <w:szCs w:val="24"/>
        </w:rPr>
      </w:pPr>
      <w:r w:rsidRPr="00D067D4">
        <w:rPr>
          <w:rFonts w:ascii="Arial" w:hAnsi="Arial" w:cs="Arial"/>
          <w:sz w:val="24"/>
          <w:szCs w:val="24"/>
        </w:rPr>
        <w:lastRenderedPageBreak/>
        <w:t>The letter urges the Commission to preserve the right of shareholders to make their voices heard and to support the mechanisms which enable d</w:t>
      </w:r>
      <w:r w:rsidRPr="00D067D4">
        <w:rPr>
          <w:rFonts w:ascii="Arial" w:hAnsi="Arial" w:cs="Arial"/>
          <w:sz w:val="24"/>
          <w:szCs w:val="24"/>
        </w:rPr>
        <w:t>iscussion of emerging ESG issues and allow them the time to evolve and gain shareholder support.  The letter also asks the SEC to uphold the independence of proxy voting advice as something many investors (including LPPI) utilise to reach informed and obje</w:t>
      </w:r>
      <w:r w:rsidRPr="00D067D4">
        <w:rPr>
          <w:rFonts w:ascii="Arial" w:hAnsi="Arial" w:cs="Arial"/>
          <w:sz w:val="24"/>
          <w:szCs w:val="24"/>
        </w:rPr>
        <w:t xml:space="preserve">ctive decisions about shareholder voting. </w:t>
      </w:r>
    </w:p>
    <w:p w:rsidR="00971769" w:rsidRPr="00D067D4" w:rsidRDefault="0084045D" w:rsidP="00846783">
      <w:pPr>
        <w:spacing w:after="0"/>
        <w:jc w:val="both"/>
        <w:rPr>
          <w:rFonts w:ascii="Verdana" w:hAnsi="Verdana" w:cs="Arial"/>
          <w:b/>
          <w:bCs/>
          <w:color w:val="44546A" w:themeColor="text2"/>
          <w:sz w:val="24"/>
          <w:szCs w:val="24"/>
        </w:rPr>
      </w:pPr>
    </w:p>
    <w:p w:rsidR="00846783" w:rsidRPr="00D067D4" w:rsidRDefault="0084045D" w:rsidP="00846783">
      <w:pPr>
        <w:pStyle w:val="ListParagraph"/>
        <w:numPr>
          <w:ilvl w:val="0"/>
          <w:numId w:val="2"/>
        </w:numPr>
        <w:autoSpaceDE w:val="0"/>
        <w:autoSpaceDN w:val="0"/>
        <w:adjustRightInd w:val="0"/>
        <w:spacing w:after="0"/>
        <w:ind w:hanging="720"/>
        <w:rPr>
          <w:rFonts w:ascii="Arial" w:hAnsi="Arial" w:cs="Arial"/>
          <w:b/>
          <w:bCs/>
          <w:color w:val="44546A" w:themeColor="text2"/>
          <w:sz w:val="24"/>
          <w:szCs w:val="24"/>
        </w:rPr>
      </w:pPr>
      <w:r w:rsidRPr="00D067D4">
        <w:rPr>
          <w:rFonts w:ascii="Arial" w:hAnsi="Arial" w:cs="Arial"/>
          <w:b/>
          <w:bCs/>
          <w:color w:val="44546A" w:themeColor="text2"/>
          <w:sz w:val="24"/>
          <w:szCs w:val="24"/>
        </w:rPr>
        <w:t>Shareholder Litigation</w:t>
      </w:r>
    </w:p>
    <w:p w:rsidR="00846783" w:rsidRPr="00D067D4" w:rsidRDefault="0084045D" w:rsidP="00846783">
      <w:pPr>
        <w:spacing w:after="0"/>
        <w:jc w:val="both"/>
        <w:rPr>
          <w:rFonts w:ascii="Arial" w:hAnsi="Arial" w:cs="Arial"/>
          <w:b/>
          <w:bCs/>
          <w:color w:val="44546A" w:themeColor="text2"/>
          <w:sz w:val="24"/>
          <w:szCs w:val="24"/>
        </w:rPr>
      </w:pPr>
    </w:p>
    <w:p w:rsidR="00846783" w:rsidRPr="00D067D4" w:rsidRDefault="0084045D" w:rsidP="00846783">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 xml:space="preserve">LPPI employs Institutional Protection Services (IPS) as an external provider of litigation monitoring services to ensure shareholder litigation cases affecting securities owned by the GEF </w:t>
      </w:r>
      <w:r w:rsidRPr="00D067D4">
        <w:rPr>
          <w:rFonts w:ascii="Arial" w:hAnsi="Arial" w:cs="Arial"/>
          <w:snapToGrid w:val="0"/>
          <w:color w:val="000000" w:themeColor="text1" w:themeShade="80"/>
          <w:sz w:val="24"/>
          <w:szCs w:val="24"/>
        </w:rPr>
        <w:t xml:space="preserve">are known about, claims are filed in a timely way and progress is monitored and followed up with Claims Administrators.  In addition, IPS monitor cases relating to shares held by LCPF in the period before the Fund pooled its listed equity investments from </w:t>
      </w:r>
      <w:r w:rsidRPr="00D067D4">
        <w:rPr>
          <w:rFonts w:ascii="Arial" w:hAnsi="Arial" w:cs="Arial"/>
          <w:snapToGrid w:val="0"/>
          <w:color w:val="000000" w:themeColor="text1" w:themeShade="80"/>
          <w:sz w:val="24"/>
          <w:szCs w:val="24"/>
        </w:rPr>
        <w:t>November 2016.  Litigation can arise quite some time after shares have been sold and monitoring new cases and referring back to historic records to establish rights of ownership is an ongoing task.</w:t>
      </w:r>
    </w:p>
    <w:p w:rsidR="00846783" w:rsidRPr="00D067D4" w:rsidRDefault="0084045D" w:rsidP="00846783">
      <w:pPr>
        <w:spacing w:after="0"/>
        <w:rPr>
          <w:rFonts w:ascii="Verdana" w:hAnsi="Verdana"/>
          <w:snapToGrid w:val="0"/>
          <w:color w:val="000000" w:themeColor="text1" w:themeShade="80"/>
          <w:sz w:val="24"/>
          <w:szCs w:val="24"/>
        </w:rPr>
      </w:pPr>
    </w:p>
    <w:p w:rsidR="00846783" w:rsidRPr="00D067D4" w:rsidRDefault="0084045D" w:rsidP="00846783">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IPS provide LPPI with monitoring information on a quarter</w:t>
      </w:r>
      <w:r w:rsidRPr="00D067D4">
        <w:rPr>
          <w:rFonts w:ascii="Arial" w:hAnsi="Arial" w:cs="Arial"/>
          <w:snapToGrid w:val="0"/>
          <w:color w:val="000000" w:themeColor="text1" w:themeShade="80"/>
          <w:sz w:val="24"/>
          <w:szCs w:val="24"/>
        </w:rPr>
        <w:t xml:space="preserve">ly basis detailing the number of cases investigated.  The monitoring report for Q4 2019 confirms that two new potential cases have been identified where the Fund may have an entitlement to join a class action and eligibility is being assessed. There are a </w:t>
      </w:r>
      <w:r w:rsidRPr="00D067D4">
        <w:rPr>
          <w:rFonts w:ascii="Arial" w:hAnsi="Arial" w:cs="Arial"/>
          <w:snapToGrid w:val="0"/>
          <w:color w:val="000000" w:themeColor="text1" w:themeShade="80"/>
          <w:sz w:val="24"/>
          <w:szCs w:val="24"/>
        </w:rPr>
        <w:t xml:space="preserve">further 13 confirmations of no claim and no recognised loss. </w:t>
      </w:r>
    </w:p>
    <w:p w:rsidR="00846783" w:rsidRPr="00D067D4" w:rsidRDefault="0084045D" w:rsidP="00846783">
      <w:pPr>
        <w:pStyle w:val="Default"/>
        <w:rPr>
          <w:rFonts w:ascii="Verdana" w:hAnsi="Verdana" w:cs="Arial"/>
          <w:b/>
          <w:bCs/>
          <w:color w:val="44546A" w:themeColor="text2"/>
        </w:rPr>
      </w:pPr>
    </w:p>
    <w:p w:rsidR="00846783" w:rsidRPr="00D067D4" w:rsidRDefault="0084045D" w:rsidP="00846783">
      <w:pPr>
        <w:pStyle w:val="ListParagraph"/>
        <w:numPr>
          <w:ilvl w:val="0"/>
          <w:numId w:val="2"/>
        </w:numPr>
        <w:autoSpaceDE w:val="0"/>
        <w:autoSpaceDN w:val="0"/>
        <w:adjustRightInd w:val="0"/>
        <w:spacing w:after="0"/>
        <w:ind w:hanging="720"/>
        <w:rPr>
          <w:rFonts w:ascii="Arial" w:hAnsi="Arial" w:cs="Arial"/>
          <w:b/>
          <w:bCs/>
          <w:color w:val="44546A" w:themeColor="text2"/>
          <w:sz w:val="24"/>
          <w:szCs w:val="24"/>
        </w:rPr>
      </w:pPr>
      <w:r w:rsidRPr="00D067D4">
        <w:rPr>
          <w:rFonts w:ascii="Arial" w:hAnsi="Arial" w:cs="Arial"/>
          <w:b/>
          <w:bCs/>
          <w:color w:val="44546A" w:themeColor="text2"/>
          <w:sz w:val="24"/>
          <w:szCs w:val="24"/>
        </w:rPr>
        <w:t>Active Investing</w:t>
      </w:r>
    </w:p>
    <w:p w:rsidR="00846783" w:rsidRPr="00D067D4" w:rsidRDefault="0084045D" w:rsidP="00846783">
      <w:pPr>
        <w:spacing w:after="0"/>
        <w:jc w:val="both"/>
        <w:rPr>
          <w:rFonts w:ascii="Arial" w:hAnsi="Arial" w:cs="Arial"/>
          <w:bCs/>
          <w:sz w:val="24"/>
          <w:szCs w:val="24"/>
        </w:rPr>
      </w:pPr>
    </w:p>
    <w:p w:rsidR="00846783" w:rsidRPr="00D067D4" w:rsidRDefault="0084045D" w:rsidP="00846783">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The LCPF Responsible Investment Policy describes active investing as the search for sustainable investments which meet LCPF’s requirements for strong returns combined with bes</w:t>
      </w:r>
      <w:r w:rsidRPr="00D067D4">
        <w:rPr>
          <w:rFonts w:ascii="Arial" w:hAnsi="Arial" w:cs="Arial"/>
          <w:snapToGrid w:val="0"/>
          <w:color w:val="000000" w:themeColor="text1" w:themeShade="80"/>
          <w:sz w:val="24"/>
          <w:szCs w:val="24"/>
        </w:rPr>
        <w:t>t practice in ESG and corporate governance.  The Fund has not set allocations for investments within specific sectors or identified impact themes but in general favours investments with positive social outcomes and has expressed an interest in understandin</w:t>
      </w:r>
      <w:r w:rsidRPr="00D067D4">
        <w:rPr>
          <w:rFonts w:ascii="Arial" w:hAnsi="Arial" w:cs="Arial"/>
          <w:snapToGrid w:val="0"/>
          <w:color w:val="000000" w:themeColor="text1" w:themeShade="80"/>
          <w:sz w:val="24"/>
          <w:szCs w:val="24"/>
        </w:rPr>
        <w:t>g where current investments are delivering social benefits in addition to generating investment returns. Examples of socially positive investments are available from across the asset classes the fund invests in.</w:t>
      </w:r>
    </w:p>
    <w:p w:rsidR="00846783" w:rsidRPr="00D067D4" w:rsidRDefault="0084045D" w:rsidP="00846783">
      <w:pPr>
        <w:spacing w:after="0"/>
        <w:rPr>
          <w:rFonts w:ascii="Arial" w:hAnsi="Arial" w:cs="Arial"/>
          <w:snapToGrid w:val="0"/>
          <w:color w:val="000000" w:themeColor="text1" w:themeShade="80"/>
          <w:sz w:val="24"/>
          <w:szCs w:val="24"/>
        </w:rPr>
      </w:pPr>
    </w:p>
    <w:p w:rsidR="0067440A" w:rsidRPr="00D067D4" w:rsidRDefault="0084045D" w:rsidP="00846783">
      <w:pPr>
        <w:shd w:val="clear" w:color="auto" w:fill="FFFFFF"/>
        <w:spacing w:after="0" w:line="240" w:lineRule="auto"/>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Infrastructure</w:t>
      </w:r>
    </w:p>
    <w:p w:rsidR="0067440A" w:rsidRPr="00D067D4" w:rsidRDefault="0084045D" w:rsidP="00846783">
      <w:pPr>
        <w:shd w:val="clear" w:color="auto" w:fill="FFFFFF"/>
        <w:spacing w:after="0" w:line="240" w:lineRule="auto"/>
        <w:rPr>
          <w:rFonts w:ascii="Arial" w:hAnsi="Arial" w:cs="Arial"/>
          <w:snapToGrid w:val="0"/>
          <w:color w:val="000000" w:themeColor="text1" w:themeShade="80"/>
          <w:sz w:val="24"/>
          <w:szCs w:val="24"/>
        </w:rPr>
      </w:pPr>
    </w:p>
    <w:p w:rsidR="00C40C73" w:rsidRPr="00D067D4" w:rsidRDefault="0084045D" w:rsidP="00846783">
      <w:pPr>
        <w:shd w:val="clear" w:color="auto" w:fill="FFFFFF"/>
        <w:spacing w:after="0" w:line="240" w:lineRule="auto"/>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In the period since the com</w:t>
      </w:r>
      <w:r w:rsidRPr="00D067D4">
        <w:rPr>
          <w:rFonts w:ascii="Arial" w:hAnsi="Arial" w:cs="Arial"/>
          <w:snapToGrid w:val="0"/>
          <w:color w:val="000000" w:themeColor="text1" w:themeShade="80"/>
          <w:sz w:val="24"/>
          <w:szCs w:val="24"/>
        </w:rPr>
        <w:t xml:space="preserve">mittee last met the Fund’s exposure to renewable energy generation has been increased through an infrastructure investment (via GLIL) in Cubico Sustainable Investments.  </w:t>
      </w:r>
    </w:p>
    <w:p w:rsidR="00CC1700" w:rsidRPr="00D067D4" w:rsidRDefault="0084045D" w:rsidP="00846783">
      <w:pPr>
        <w:shd w:val="clear" w:color="auto" w:fill="FFFFFF"/>
        <w:spacing w:after="0" w:line="240" w:lineRule="auto"/>
        <w:rPr>
          <w:rFonts w:ascii="Arial" w:hAnsi="Arial" w:cs="Arial"/>
          <w:snapToGrid w:val="0"/>
          <w:color w:val="000000" w:themeColor="text1" w:themeShade="80"/>
          <w:sz w:val="24"/>
          <w:szCs w:val="24"/>
        </w:rPr>
      </w:pPr>
    </w:p>
    <w:p w:rsidR="00C40C73" w:rsidRPr="00D067D4" w:rsidRDefault="0084045D" w:rsidP="00CC170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 xml:space="preserve">A press release produced by GLIL provides further details on the investment in </w:t>
      </w:r>
      <w:r w:rsidRPr="00D067D4">
        <w:rPr>
          <w:rFonts w:ascii="Arial" w:hAnsi="Arial" w:cs="Arial"/>
          <w:snapToGrid w:val="0"/>
          <w:color w:val="000000" w:themeColor="text1" w:themeShade="80"/>
          <w:sz w:val="24"/>
          <w:szCs w:val="24"/>
        </w:rPr>
        <w:t>Cubico’s UK portfolio of operational wind and solar assets. GLIL has acquired a minority (49%) equity stake in the portfolio, which has been operational for more than three years and comprises over 250 MW of wind and solar projects at 18 sites across the U</w:t>
      </w:r>
      <w:r w:rsidRPr="00D067D4">
        <w:rPr>
          <w:rFonts w:ascii="Arial" w:hAnsi="Arial" w:cs="Arial"/>
          <w:snapToGrid w:val="0"/>
          <w:color w:val="000000" w:themeColor="text1" w:themeShade="80"/>
          <w:sz w:val="24"/>
          <w:szCs w:val="24"/>
        </w:rPr>
        <w:t>K.</w:t>
      </w:r>
    </w:p>
    <w:p w:rsidR="00CC1700" w:rsidRPr="00D067D4" w:rsidRDefault="0084045D" w:rsidP="00846783">
      <w:pPr>
        <w:shd w:val="clear" w:color="auto" w:fill="FFFFFF"/>
        <w:spacing w:after="0" w:line="240" w:lineRule="auto"/>
        <w:rPr>
          <w:rFonts w:ascii="Arial" w:hAnsi="Arial" w:cs="Arial"/>
          <w:b/>
          <w:bCs/>
          <w:snapToGrid w:val="0"/>
          <w:color w:val="000000" w:themeColor="text1" w:themeShade="80"/>
          <w:sz w:val="24"/>
          <w:szCs w:val="24"/>
        </w:rPr>
      </w:pPr>
      <w:hyperlink r:id="rId12" w:history="1">
        <w:r w:rsidRPr="00D067D4">
          <w:rPr>
            <w:rStyle w:val="Hyperlink"/>
            <w:sz w:val="24"/>
            <w:szCs w:val="24"/>
          </w:rPr>
          <w:t>https://www.glil.co.uk/assets/Press-release-Cubico-sells-minority-stake-in-UK-wind-and-solar-portfolio-to-GLIL-Infrastructure-002.pdf</w:t>
        </w:r>
      </w:hyperlink>
    </w:p>
    <w:p w:rsidR="00CC2B72" w:rsidRPr="00D067D4" w:rsidRDefault="0084045D" w:rsidP="00846783">
      <w:pPr>
        <w:shd w:val="clear" w:color="auto" w:fill="FFFFFF"/>
        <w:spacing w:after="0" w:line="240" w:lineRule="auto"/>
        <w:rPr>
          <w:rFonts w:ascii="Arial" w:hAnsi="Arial" w:cs="Arial"/>
          <w:snapToGrid w:val="0"/>
          <w:color w:val="000000" w:themeColor="text1" w:themeShade="80"/>
          <w:sz w:val="24"/>
          <w:szCs w:val="24"/>
        </w:rPr>
      </w:pPr>
    </w:p>
    <w:p w:rsidR="00DD0DD3" w:rsidRPr="00D067D4" w:rsidRDefault="0084045D" w:rsidP="00DD0DD3">
      <w:pPr>
        <w:spacing w:after="0"/>
        <w:rPr>
          <w:rFonts w:ascii="Arial" w:hAnsi="Arial" w:cs="Arial"/>
          <w:snapToGrid w:val="0"/>
          <w:color w:val="000000" w:themeColor="text1" w:themeShade="80"/>
          <w:sz w:val="24"/>
          <w:szCs w:val="24"/>
        </w:rPr>
      </w:pPr>
      <w:r>
        <w:rPr>
          <w:rFonts w:ascii="Arial" w:hAnsi="Arial" w:cs="Arial"/>
          <w:snapToGrid w:val="0"/>
          <w:color w:val="000000" w:themeColor="text1" w:themeShade="80"/>
          <w:sz w:val="24"/>
          <w:szCs w:val="24"/>
        </w:rPr>
        <w:t>L</w:t>
      </w:r>
      <w:r w:rsidRPr="00D067D4">
        <w:rPr>
          <w:rFonts w:ascii="Arial" w:hAnsi="Arial" w:cs="Arial"/>
          <w:snapToGrid w:val="0"/>
          <w:color w:val="000000" w:themeColor="text1" w:themeShade="80"/>
          <w:sz w:val="24"/>
          <w:szCs w:val="24"/>
        </w:rPr>
        <w:t>GPS Cross Pool Responsible Investment Group</w:t>
      </w:r>
    </w:p>
    <w:p w:rsidR="00DD0DD3" w:rsidRPr="00D067D4" w:rsidRDefault="0084045D" w:rsidP="00DD0DD3">
      <w:pPr>
        <w:spacing w:after="0"/>
        <w:rPr>
          <w:rFonts w:ascii="Arial" w:hAnsi="Arial" w:cs="Arial"/>
          <w:snapToGrid w:val="0"/>
          <w:color w:val="000000" w:themeColor="text1" w:themeShade="80"/>
          <w:sz w:val="24"/>
          <w:szCs w:val="24"/>
        </w:rPr>
      </w:pPr>
    </w:p>
    <w:p w:rsidR="00DD0DD3" w:rsidRPr="00D067D4" w:rsidRDefault="0084045D" w:rsidP="00DD0DD3">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The Head of RI has recently become the Chair of the LGPS Cross Pool Resp</w:t>
      </w:r>
      <w:r w:rsidRPr="00D067D4">
        <w:rPr>
          <w:rFonts w:ascii="Arial" w:hAnsi="Arial" w:cs="Arial"/>
          <w:snapToGrid w:val="0"/>
          <w:color w:val="000000" w:themeColor="text1" w:themeShade="80"/>
          <w:sz w:val="24"/>
          <w:szCs w:val="24"/>
        </w:rPr>
        <w:t xml:space="preserve">onsible Investment Group.  The group is an active network for RI practitioners within the LPGS which brings together representatives from across the 8 constituent LGPS pools to share information, collaborate, and collectively support the development of RI </w:t>
      </w:r>
      <w:r w:rsidRPr="00D067D4">
        <w:rPr>
          <w:rFonts w:ascii="Arial" w:hAnsi="Arial" w:cs="Arial"/>
          <w:snapToGrid w:val="0"/>
          <w:color w:val="000000" w:themeColor="text1" w:themeShade="80"/>
          <w:sz w:val="24"/>
          <w:szCs w:val="24"/>
        </w:rPr>
        <w:t>by the LGPS.  The group currently produces and delivers the RI content for the Local Government Association’s (LGA) LGPS Governance Fundamentals Training.</w:t>
      </w:r>
    </w:p>
    <w:p w:rsidR="00DD0DD3" w:rsidRPr="00D067D4" w:rsidRDefault="0084045D" w:rsidP="00DD0DD3">
      <w:pPr>
        <w:spacing w:after="0"/>
        <w:rPr>
          <w:rFonts w:ascii="Arial" w:hAnsi="Arial" w:cs="Arial"/>
          <w:snapToGrid w:val="0"/>
          <w:color w:val="000000" w:themeColor="text1" w:themeShade="80"/>
          <w:sz w:val="24"/>
          <w:szCs w:val="24"/>
        </w:rPr>
      </w:pPr>
    </w:p>
    <w:p w:rsidR="00557828" w:rsidRPr="00D067D4" w:rsidRDefault="0084045D" w:rsidP="00DD0DD3">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 xml:space="preserve">The group has formed productive relationships with a number of key organisations including the PRI, </w:t>
      </w:r>
      <w:r w:rsidRPr="00D067D4">
        <w:rPr>
          <w:rFonts w:ascii="Arial" w:hAnsi="Arial" w:cs="Arial"/>
          <w:snapToGrid w:val="0"/>
          <w:color w:val="000000" w:themeColor="text1" w:themeShade="80"/>
          <w:sz w:val="24"/>
          <w:szCs w:val="24"/>
        </w:rPr>
        <w:t xml:space="preserve">Financial Reporting Council and LGA and is an efficient forum for collectively discussing new initiatives, sharing insights, noting good practice and providing general commentary when asked to provide an initial LGPS sounding board. </w:t>
      </w:r>
    </w:p>
    <w:p w:rsidR="00557828" w:rsidRPr="00D067D4" w:rsidRDefault="0084045D" w:rsidP="00DD0DD3">
      <w:pPr>
        <w:spacing w:after="0"/>
        <w:rPr>
          <w:rFonts w:ascii="Arial" w:hAnsi="Arial" w:cs="Arial"/>
          <w:snapToGrid w:val="0"/>
          <w:color w:val="000000" w:themeColor="text1" w:themeShade="80"/>
          <w:sz w:val="24"/>
          <w:szCs w:val="24"/>
        </w:rPr>
      </w:pPr>
    </w:p>
    <w:p w:rsidR="00634AFA" w:rsidRPr="00D067D4" w:rsidRDefault="0084045D" w:rsidP="00DD0DD3">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 xml:space="preserve">Approached by the </w:t>
      </w:r>
      <w:r w:rsidRPr="00D067D4">
        <w:rPr>
          <w:rFonts w:ascii="Arial" w:hAnsi="Arial" w:cs="Arial"/>
          <w:snapToGrid w:val="0"/>
          <w:color w:val="000000" w:themeColor="text1" w:themeShade="80"/>
          <w:sz w:val="24"/>
          <w:szCs w:val="24"/>
        </w:rPr>
        <w:t>LGA, the Head of RI led on the group’s review and initial impressions of the LGPS Scheme Advisory Board (SAB) draft guidance on Responsible Investment which was out for consultation from November 2019 to Jan 2020. In follow-up, the Head of RI was invited t</w:t>
      </w:r>
      <w:r w:rsidRPr="00D067D4">
        <w:rPr>
          <w:rFonts w:ascii="Arial" w:hAnsi="Arial" w:cs="Arial"/>
          <w:snapToGrid w:val="0"/>
          <w:color w:val="000000" w:themeColor="text1" w:themeShade="80"/>
          <w:sz w:val="24"/>
          <w:szCs w:val="24"/>
        </w:rPr>
        <w:t xml:space="preserve">o be a panellist at a joint SAB/LGA Workshop on Responsible Investment (January 2020) which discussed current regulations and the need for clearer guidance to help Funds understand their responsibilities and recognise the flexibilities they have to pursue </w:t>
      </w:r>
      <w:r w:rsidRPr="00D067D4">
        <w:rPr>
          <w:rFonts w:ascii="Arial" w:hAnsi="Arial" w:cs="Arial"/>
          <w:snapToGrid w:val="0"/>
          <w:color w:val="000000" w:themeColor="text1" w:themeShade="80"/>
          <w:sz w:val="24"/>
          <w:szCs w:val="24"/>
        </w:rPr>
        <w:t>RI under current Investment Regulations</w:t>
      </w:r>
    </w:p>
    <w:p w:rsidR="0089018C" w:rsidRPr="00D067D4" w:rsidRDefault="0084045D" w:rsidP="00DD0DD3">
      <w:pPr>
        <w:spacing w:after="0"/>
        <w:rPr>
          <w:rFonts w:ascii="Arial" w:hAnsi="Arial" w:cs="Arial"/>
          <w:snapToGrid w:val="0"/>
          <w:color w:val="000000" w:themeColor="text1" w:themeShade="80"/>
          <w:sz w:val="24"/>
          <w:szCs w:val="24"/>
        </w:rPr>
      </w:pPr>
    </w:p>
    <w:p w:rsidR="00DD0DD3" w:rsidRPr="00D067D4" w:rsidRDefault="0084045D" w:rsidP="00DD0DD3">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LPPI has made a separate response to the consultation on the SAB RI Guidance which was critical of the failure to explicitly reference the role of Pool companies in implementing RI policies for funds and providing s</w:t>
      </w:r>
      <w:r w:rsidRPr="00D067D4">
        <w:rPr>
          <w:rFonts w:ascii="Arial" w:hAnsi="Arial" w:cs="Arial"/>
          <w:snapToGrid w:val="0"/>
          <w:color w:val="000000" w:themeColor="text1" w:themeShade="80"/>
          <w:sz w:val="24"/>
          <w:szCs w:val="24"/>
        </w:rPr>
        <w:t>upport, guidance and a focus for consensus around common standards where assets are under pooled management and stewardship.</w:t>
      </w:r>
    </w:p>
    <w:p w:rsidR="00C44B5C" w:rsidRPr="00D067D4" w:rsidRDefault="0084045D" w:rsidP="00DD0DD3">
      <w:pPr>
        <w:spacing w:after="0"/>
        <w:rPr>
          <w:rFonts w:ascii="Arial" w:hAnsi="Arial" w:cs="Arial"/>
          <w:snapToGrid w:val="0"/>
          <w:color w:val="000000" w:themeColor="text1" w:themeShade="80"/>
          <w:sz w:val="24"/>
          <w:szCs w:val="24"/>
        </w:rPr>
      </w:pPr>
    </w:p>
    <w:p w:rsidR="00DD0DD3" w:rsidRPr="00D067D4" w:rsidRDefault="0084045D" w:rsidP="00834339">
      <w:pPr>
        <w:pStyle w:val="ListParagraph"/>
        <w:numPr>
          <w:ilvl w:val="0"/>
          <w:numId w:val="2"/>
        </w:numPr>
        <w:autoSpaceDE w:val="0"/>
        <w:autoSpaceDN w:val="0"/>
        <w:adjustRightInd w:val="0"/>
        <w:spacing w:after="0"/>
        <w:ind w:hanging="720"/>
        <w:rPr>
          <w:rFonts w:ascii="Arial" w:hAnsi="Arial" w:cs="Arial"/>
          <w:b/>
          <w:bCs/>
          <w:color w:val="44546A" w:themeColor="text2"/>
          <w:sz w:val="24"/>
          <w:szCs w:val="24"/>
        </w:rPr>
      </w:pPr>
      <w:r w:rsidRPr="00D067D4">
        <w:rPr>
          <w:rFonts w:ascii="Arial" w:hAnsi="Arial" w:cs="Arial"/>
          <w:b/>
          <w:bCs/>
          <w:color w:val="44546A" w:themeColor="text2"/>
          <w:sz w:val="24"/>
          <w:szCs w:val="24"/>
        </w:rPr>
        <w:t>Other</w:t>
      </w:r>
    </w:p>
    <w:p w:rsidR="008E514D" w:rsidRPr="00D067D4" w:rsidRDefault="0084045D" w:rsidP="00834339">
      <w:pPr>
        <w:spacing w:after="0"/>
        <w:rPr>
          <w:rFonts w:ascii="Arial" w:hAnsi="Arial" w:cs="Arial"/>
          <w:snapToGrid w:val="0"/>
          <w:color w:val="000000" w:themeColor="text1" w:themeShade="80"/>
          <w:sz w:val="24"/>
          <w:szCs w:val="24"/>
        </w:rPr>
      </w:pPr>
    </w:p>
    <w:p w:rsidR="008E514D" w:rsidRPr="00D067D4" w:rsidRDefault="0084045D" w:rsidP="00834339">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UK Stewardship Code (2020)</w:t>
      </w:r>
    </w:p>
    <w:p w:rsidR="008E514D" w:rsidRPr="00D067D4" w:rsidRDefault="0084045D" w:rsidP="00834339">
      <w:pPr>
        <w:spacing w:after="0"/>
        <w:rPr>
          <w:rFonts w:ascii="Arial" w:hAnsi="Arial" w:cs="Arial"/>
          <w:snapToGrid w:val="0"/>
          <w:color w:val="000000" w:themeColor="text1" w:themeShade="80"/>
          <w:sz w:val="24"/>
          <w:szCs w:val="24"/>
        </w:rPr>
      </w:pPr>
    </w:p>
    <w:p w:rsidR="00834339" w:rsidRPr="00D067D4" w:rsidRDefault="0084045D" w:rsidP="00834339">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In October 2019 the Financial Reporting Council published the updated UK Stewardship Code (2020</w:t>
      </w:r>
      <w:r w:rsidRPr="00D067D4">
        <w:rPr>
          <w:rFonts w:ascii="Arial" w:hAnsi="Arial" w:cs="Arial"/>
          <w:snapToGrid w:val="0"/>
          <w:color w:val="000000" w:themeColor="text1" w:themeShade="80"/>
          <w:sz w:val="24"/>
          <w:szCs w:val="24"/>
        </w:rPr>
        <w:t>) which came into force from January 2020.</w:t>
      </w:r>
    </w:p>
    <w:p w:rsidR="00834339" w:rsidRPr="00D067D4" w:rsidRDefault="0084045D" w:rsidP="00834339">
      <w:pPr>
        <w:spacing w:after="0"/>
        <w:rPr>
          <w:rFonts w:ascii="Arial" w:hAnsi="Arial" w:cs="Arial"/>
          <w:snapToGrid w:val="0"/>
          <w:color w:val="000000" w:themeColor="text1" w:themeShade="80"/>
          <w:sz w:val="24"/>
          <w:szCs w:val="24"/>
        </w:rPr>
      </w:pPr>
      <w:hyperlink r:id="rId13" w:history="1">
        <w:r w:rsidRPr="00D067D4">
          <w:rPr>
            <w:rStyle w:val="Hyperlink"/>
            <w:rFonts w:ascii="Arial" w:hAnsi="Arial" w:cs="Arial"/>
            <w:sz w:val="24"/>
            <w:szCs w:val="24"/>
          </w:rPr>
          <w:t>https://www.frc.org.uk/getattachment/5aae591d-d9d3-4cf4-814a-d14e156a1d87/Stewards</w:t>
        </w:r>
        <w:r w:rsidRPr="00D067D4">
          <w:rPr>
            <w:rStyle w:val="Hyperlink"/>
            <w:rFonts w:ascii="Arial" w:hAnsi="Arial" w:cs="Arial"/>
            <w:sz w:val="24"/>
            <w:szCs w:val="24"/>
          </w:rPr>
          <w:t>hip-Code_Dec-19-Final-Corrected.pdf</w:t>
        </w:r>
      </w:hyperlink>
    </w:p>
    <w:p w:rsidR="00DD0DD3" w:rsidRPr="00D067D4" w:rsidRDefault="0084045D" w:rsidP="0080595F">
      <w:pPr>
        <w:shd w:val="clear" w:color="auto" w:fill="FFFFFF"/>
        <w:spacing w:after="0" w:line="240" w:lineRule="auto"/>
        <w:rPr>
          <w:rFonts w:ascii="Arial" w:hAnsi="Arial" w:cs="Arial"/>
          <w:snapToGrid w:val="0"/>
          <w:color w:val="000000" w:themeColor="text1" w:themeShade="80"/>
          <w:sz w:val="24"/>
          <w:szCs w:val="24"/>
        </w:rPr>
      </w:pPr>
    </w:p>
    <w:p w:rsidR="002F764C" w:rsidRPr="00D067D4" w:rsidRDefault="0084045D" w:rsidP="0012348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The Code comprises a set of ‘apply and explain’ Principles for asset managers and asset owners (moving discernibly forward from the prior Code’s comply or explain format). The 2020 Code sets a very high benchmark for</w:t>
      </w:r>
      <w:r w:rsidRPr="00D067D4">
        <w:rPr>
          <w:rFonts w:ascii="Arial" w:hAnsi="Arial" w:cs="Arial"/>
          <w:snapToGrid w:val="0"/>
          <w:color w:val="000000" w:themeColor="text1" w:themeShade="80"/>
          <w:sz w:val="24"/>
          <w:szCs w:val="24"/>
        </w:rPr>
        <w:t xml:space="preserve"> potential signatories, </w:t>
      </w:r>
      <w:r w:rsidRPr="00D067D4">
        <w:rPr>
          <w:rFonts w:ascii="Arial" w:hAnsi="Arial" w:cs="Arial"/>
          <w:snapToGrid w:val="0"/>
          <w:color w:val="000000" w:themeColor="text1" w:themeShade="80"/>
          <w:sz w:val="24"/>
          <w:szCs w:val="24"/>
        </w:rPr>
        <w:lastRenderedPageBreak/>
        <w:t>requiring them to comply with 12 Principles and disclose on their actions and outcomes against these each year.</w:t>
      </w:r>
    </w:p>
    <w:p w:rsidR="002F764C" w:rsidRPr="00D067D4" w:rsidRDefault="0084045D" w:rsidP="00123480">
      <w:pPr>
        <w:spacing w:after="0"/>
        <w:rPr>
          <w:rFonts w:ascii="Arial" w:hAnsi="Arial" w:cs="Arial"/>
          <w:snapToGrid w:val="0"/>
          <w:color w:val="000000" w:themeColor="text1" w:themeShade="80"/>
          <w:sz w:val="24"/>
          <w:szCs w:val="24"/>
        </w:rPr>
      </w:pPr>
    </w:p>
    <w:p w:rsidR="00834339" w:rsidRPr="00D067D4" w:rsidRDefault="0084045D" w:rsidP="0012348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 xml:space="preserve">It is no longer sufficient to report the fact that appropriate policies and approaches are in place; the new Code </w:t>
      </w:r>
      <w:r w:rsidRPr="00D067D4">
        <w:rPr>
          <w:rFonts w:ascii="Arial" w:hAnsi="Arial" w:cs="Arial"/>
          <w:snapToGrid w:val="0"/>
          <w:color w:val="000000" w:themeColor="text1" w:themeShade="80"/>
          <w:sz w:val="24"/>
          <w:szCs w:val="24"/>
        </w:rPr>
        <w:t>requires up to date evidence of activity. This reflects the FRC’s intention that the Code will be a basis for differentiating true stewardship best practice.  Asset owners and asset managers who wish to be in the first cohort of prospective signatories ass</w:t>
      </w:r>
      <w:r w:rsidRPr="00D067D4">
        <w:rPr>
          <w:rFonts w:ascii="Arial" w:hAnsi="Arial" w:cs="Arial"/>
          <w:snapToGrid w:val="0"/>
          <w:color w:val="000000" w:themeColor="text1" w:themeShade="80"/>
          <w:sz w:val="24"/>
          <w:szCs w:val="24"/>
        </w:rPr>
        <w:t>essed by the FRC must submit their applications and detailed reporting between January and March 2021.</w:t>
      </w:r>
    </w:p>
    <w:p w:rsidR="00DB1506" w:rsidRPr="00D067D4" w:rsidRDefault="0084045D" w:rsidP="00123480">
      <w:pPr>
        <w:spacing w:after="0"/>
        <w:rPr>
          <w:rFonts w:ascii="Arial" w:hAnsi="Arial" w:cs="Arial"/>
          <w:snapToGrid w:val="0"/>
          <w:color w:val="000000" w:themeColor="text1" w:themeShade="80"/>
          <w:sz w:val="24"/>
          <w:szCs w:val="24"/>
        </w:rPr>
      </w:pPr>
    </w:p>
    <w:p w:rsidR="00216701" w:rsidRPr="00D067D4" w:rsidRDefault="0084045D" w:rsidP="0012348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As a signatory to the prior Stewardship Code (2012) the Fund will continue to be listed as a signatory until the beginning of 2021 at which point it wil</w:t>
      </w:r>
      <w:r w:rsidRPr="00D067D4">
        <w:rPr>
          <w:rFonts w:ascii="Arial" w:hAnsi="Arial" w:cs="Arial"/>
          <w:snapToGrid w:val="0"/>
          <w:color w:val="000000" w:themeColor="text1" w:themeShade="80"/>
          <w:sz w:val="24"/>
          <w:szCs w:val="24"/>
        </w:rPr>
        <w:t>l either need to submit reporting and be assessed against the new Code or will cease to be listed as a Code signatory.</w:t>
      </w:r>
    </w:p>
    <w:p w:rsidR="00216701" w:rsidRPr="00D067D4" w:rsidRDefault="0084045D" w:rsidP="00123480">
      <w:pPr>
        <w:spacing w:after="0"/>
        <w:rPr>
          <w:rFonts w:ascii="Arial" w:hAnsi="Arial" w:cs="Arial"/>
          <w:snapToGrid w:val="0"/>
          <w:color w:val="000000" w:themeColor="text1" w:themeShade="80"/>
          <w:sz w:val="24"/>
          <w:szCs w:val="24"/>
        </w:rPr>
      </w:pPr>
    </w:p>
    <w:p w:rsidR="00970FFF" w:rsidRPr="00D067D4" w:rsidRDefault="0084045D" w:rsidP="0012348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LPPI is currently considering the requirements for compliance with the Stewardship Code (2020) alongside other regulatory requirements c</w:t>
      </w:r>
      <w:r w:rsidRPr="00D067D4">
        <w:rPr>
          <w:rFonts w:ascii="Arial" w:hAnsi="Arial" w:cs="Arial"/>
          <w:snapToGrid w:val="0"/>
          <w:color w:val="000000" w:themeColor="text1" w:themeShade="80"/>
          <w:sz w:val="24"/>
          <w:szCs w:val="24"/>
        </w:rPr>
        <w:t>oming into force relating to RI and ESG disclosure. We will provide more information on our schedule for LPPI compliance in due course. In the meantime, the Committee is encouraged to consider whether the Fund aspires to be a signatory to the 2020 Code goi</w:t>
      </w:r>
      <w:r w:rsidRPr="00D067D4">
        <w:rPr>
          <w:rFonts w:ascii="Arial" w:hAnsi="Arial" w:cs="Arial"/>
          <w:snapToGrid w:val="0"/>
          <w:color w:val="000000" w:themeColor="text1" w:themeShade="80"/>
          <w:sz w:val="24"/>
          <w:szCs w:val="24"/>
        </w:rPr>
        <w:t xml:space="preserve">ng forward. </w:t>
      </w:r>
    </w:p>
    <w:p w:rsidR="00970FFF" w:rsidRPr="00D067D4" w:rsidRDefault="0084045D" w:rsidP="00123480">
      <w:pPr>
        <w:spacing w:after="0"/>
        <w:rPr>
          <w:rFonts w:ascii="Arial" w:hAnsi="Arial" w:cs="Arial"/>
          <w:snapToGrid w:val="0"/>
          <w:color w:val="000000" w:themeColor="text1" w:themeShade="80"/>
          <w:sz w:val="24"/>
          <w:szCs w:val="24"/>
        </w:rPr>
      </w:pPr>
    </w:p>
    <w:p w:rsidR="00C04B16" w:rsidRPr="00D067D4" w:rsidRDefault="0084045D" w:rsidP="0012348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It is not a requirement for LGPS Funds to be Code signatories. The requirement (conferred under DCLG Guidance on Preparing and Maintaining an Investment Strategy Statement) is for Administering Authorities to “explain their policy on stewards</w:t>
      </w:r>
      <w:r w:rsidRPr="00D067D4">
        <w:rPr>
          <w:rFonts w:ascii="Arial" w:hAnsi="Arial" w:cs="Arial"/>
          <w:snapToGrid w:val="0"/>
          <w:color w:val="000000" w:themeColor="text1" w:themeShade="80"/>
          <w:sz w:val="24"/>
          <w:szCs w:val="24"/>
        </w:rPr>
        <w:t xml:space="preserve">hip with reference to the Stewardship Code”. This can be achieved without being a signatory through placing reliance on the policies and procedures in operation by LPPI.  </w:t>
      </w:r>
    </w:p>
    <w:p w:rsidR="00C04B16" w:rsidRPr="00D067D4" w:rsidRDefault="0084045D" w:rsidP="00123480">
      <w:pPr>
        <w:spacing w:after="0"/>
        <w:rPr>
          <w:rFonts w:ascii="Arial" w:hAnsi="Arial" w:cs="Arial"/>
          <w:snapToGrid w:val="0"/>
          <w:color w:val="000000" w:themeColor="text1" w:themeShade="80"/>
          <w:sz w:val="24"/>
          <w:szCs w:val="24"/>
        </w:rPr>
      </w:pPr>
    </w:p>
    <w:p w:rsidR="00123480" w:rsidRPr="00D067D4" w:rsidRDefault="0084045D" w:rsidP="0012348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 xml:space="preserve">Given the extent of delegation associated with the LPP pooling model (stewardship </w:t>
      </w:r>
      <w:r w:rsidRPr="00D067D4">
        <w:rPr>
          <w:rFonts w:ascii="Arial" w:hAnsi="Arial" w:cs="Arial"/>
          <w:snapToGrid w:val="0"/>
          <w:color w:val="000000" w:themeColor="text1" w:themeShade="80"/>
          <w:sz w:val="24"/>
          <w:szCs w:val="24"/>
        </w:rPr>
        <w:t>tasks being undertaken by LPPI) and the high benchmark set by the new Code it would be prudent to reflect in advance on the practicalities of compliance and allowing adequate time for preparation to report against the Code should the Fund wish to take this</w:t>
      </w:r>
      <w:r w:rsidRPr="00D067D4">
        <w:rPr>
          <w:rFonts w:ascii="Arial" w:hAnsi="Arial" w:cs="Arial"/>
          <w:snapToGrid w:val="0"/>
          <w:color w:val="000000" w:themeColor="text1" w:themeShade="80"/>
          <w:sz w:val="24"/>
          <w:szCs w:val="24"/>
        </w:rPr>
        <w:t xml:space="preserve"> route.</w:t>
      </w:r>
    </w:p>
    <w:p w:rsidR="00D44D7E" w:rsidRPr="00D067D4" w:rsidRDefault="0084045D" w:rsidP="00123480">
      <w:pPr>
        <w:spacing w:after="0"/>
        <w:rPr>
          <w:rFonts w:ascii="Arial" w:hAnsi="Arial" w:cs="Arial"/>
          <w:snapToGrid w:val="0"/>
          <w:color w:val="000000" w:themeColor="text1" w:themeShade="80"/>
          <w:sz w:val="24"/>
          <w:szCs w:val="24"/>
        </w:rPr>
      </w:pPr>
    </w:p>
    <w:p w:rsidR="00D44D7E" w:rsidRPr="00D067D4" w:rsidRDefault="0084045D" w:rsidP="00123480">
      <w:pPr>
        <w:spacing w:after="0"/>
        <w:rPr>
          <w:rFonts w:ascii="Arial" w:hAnsi="Arial" w:cs="Arial"/>
          <w:snapToGrid w:val="0"/>
          <w:color w:val="000000" w:themeColor="text1" w:themeShade="80"/>
          <w:sz w:val="24"/>
          <w:szCs w:val="24"/>
        </w:rPr>
      </w:pPr>
      <w:r w:rsidRPr="00D067D4">
        <w:rPr>
          <w:rFonts w:ascii="Arial" w:hAnsi="Arial" w:cs="Arial"/>
          <w:snapToGrid w:val="0"/>
          <w:color w:val="000000" w:themeColor="text1" w:themeShade="80"/>
          <w:sz w:val="24"/>
          <w:szCs w:val="24"/>
        </w:rPr>
        <w:t xml:space="preserve">As an assistance the Head of RI has begun a discussion with the FRC around the situation of LGPS funds whose assets and stewardship are pooled and how this position can best be accommodated under the new Code. </w:t>
      </w:r>
    </w:p>
    <w:p w:rsidR="00123480" w:rsidRPr="00D067D4" w:rsidRDefault="0084045D">
      <w:pPr>
        <w:rPr>
          <w:sz w:val="24"/>
          <w:szCs w:val="24"/>
        </w:rPr>
      </w:pPr>
    </w:p>
    <w:p w:rsidR="00216701" w:rsidRPr="00D067D4" w:rsidRDefault="0084045D">
      <w:pPr>
        <w:rPr>
          <w:sz w:val="24"/>
          <w:szCs w:val="24"/>
        </w:rPr>
      </w:pPr>
    </w:p>
    <w:sectPr w:rsidR="00216701" w:rsidRPr="00D067D4" w:rsidSect="002F764C">
      <w:footerReference w:type="default" r:id="rId14"/>
      <w:headerReference w:type="first" r:id="rId15"/>
      <w:pgSz w:w="11906" w:h="16838"/>
      <w:pgMar w:top="993"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045D">
      <w:pPr>
        <w:spacing w:after="0" w:line="240" w:lineRule="auto"/>
      </w:pPr>
      <w:r>
        <w:separator/>
      </w:r>
    </w:p>
  </w:endnote>
  <w:endnote w:type="continuationSeparator" w:id="0">
    <w:p w:rsidR="00000000" w:rsidRDefault="0084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otham XNarrow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4C" w:rsidRDefault="0084045D">
    <w:pPr>
      <w:pStyle w:val="Footer"/>
    </w:pPr>
  </w:p>
  <w:p w:rsidR="002F764C" w:rsidRDefault="0084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045D">
      <w:pPr>
        <w:spacing w:after="0" w:line="240" w:lineRule="auto"/>
      </w:pPr>
      <w:r>
        <w:separator/>
      </w:r>
    </w:p>
  </w:footnote>
  <w:footnote w:type="continuationSeparator" w:id="0">
    <w:p w:rsidR="00000000" w:rsidRDefault="0084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4C" w:rsidRDefault="0084045D">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2" name="Picture 2"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50035"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64C" w:rsidRDefault="00840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69"/>
    <w:multiLevelType w:val="hybridMultilevel"/>
    <w:tmpl w:val="D6C038C4"/>
    <w:lvl w:ilvl="0" w:tplc="21E492A0">
      <w:start w:val="1"/>
      <w:numFmt w:val="bullet"/>
      <w:lvlText w:val=""/>
      <w:lvlJc w:val="left"/>
      <w:pPr>
        <w:ind w:left="360" w:hanging="360"/>
      </w:pPr>
      <w:rPr>
        <w:rFonts w:ascii="Symbol" w:hAnsi="Symbol" w:hint="default"/>
      </w:rPr>
    </w:lvl>
    <w:lvl w:ilvl="1" w:tplc="77268E9A" w:tentative="1">
      <w:start w:val="1"/>
      <w:numFmt w:val="bullet"/>
      <w:lvlText w:val="o"/>
      <w:lvlJc w:val="left"/>
      <w:pPr>
        <w:ind w:left="1080" w:hanging="360"/>
      </w:pPr>
      <w:rPr>
        <w:rFonts w:ascii="Courier New" w:hAnsi="Courier New" w:cs="Courier New" w:hint="default"/>
      </w:rPr>
    </w:lvl>
    <w:lvl w:ilvl="2" w:tplc="5366ECEC" w:tentative="1">
      <w:start w:val="1"/>
      <w:numFmt w:val="bullet"/>
      <w:lvlText w:val=""/>
      <w:lvlJc w:val="left"/>
      <w:pPr>
        <w:ind w:left="1800" w:hanging="360"/>
      </w:pPr>
      <w:rPr>
        <w:rFonts w:ascii="Wingdings" w:hAnsi="Wingdings" w:hint="default"/>
      </w:rPr>
    </w:lvl>
    <w:lvl w:ilvl="3" w:tplc="A24E1BE2" w:tentative="1">
      <w:start w:val="1"/>
      <w:numFmt w:val="bullet"/>
      <w:lvlText w:val=""/>
      <w:lvlJc w:val="left"/>
      <w:pPr>
        <w:ind w:left="2520" w:hanging="360"/>
      </w:pPr>
      <w:rPr>
        <w:rFonts w:ascii="Symbol" w:hAnsi="Symbol" w:hint="default"/>
      </w:rPr>
    </w:lvl>
    <w:lvl w:ilvl="4" w:tplc="35A6A2D0" w:tentative="1">
      <w:start w:val="1"/>
      <w:numFmt w:val="bullet"/>
      <w:lvlText w:val="o"/>
      <w:lvlJc w:val="left"/>
      <w:pPr>
        <w:ind w:left="3240" w:hanging="360"/>
      </w:pPr>
      <w:rPr>
        <w:rFonts w:ascii="Courier New" w:hAnsi="Courier New" w:cs="Courier New" w:hint="default"/>
      </w:rPr>
    </w:lvl>
    <w:lvl w:ilvl="5" w:tplc="910AB9D6" w:tentative="1">
      <w:start w:val="1"/>
      <w:numFmt w:val="bullet"/>
      <w:lvlText w:val=""/>
      <w:lvlJc w:val="left"/>
      <w:pPr>
        <w:ind w:left="3960" w:hanging="360"/>
      </w:pPr>
      <w:rPr>
        <w:rFonts w:ascii="Wingdings" w:hAnsi="Wingdings" w:hint="default"/>
      </w:rPr>
    </w:lvl>
    <w:lvl w:ilvl="6" w:tplc="E4869E06" w:tentative="1">
      <w:start w:val="1"/>
      <w:numFmt w:val="bullet"/>
      <w:lvlText w:val=""/>
      <w:lvlJc w:val="left"/>
      <w:pPr>
        <w:ind w:left="4680" w:hanging="360"/>
      </w:pPr>
      <w:rPr>
        <w:rFonts w:ascii="Symbol" w:hAnsi="Symbol" w:hint="default"/>
      </w:rPr>
    </w:lvl>
    <w:lvl w:ilvl="7" w:tplc="DDB053BC" w:tentative="1">
      <w:start w:val="1"/>
      <w:numFmt w:val="bullet"/>
      <w:lvlText w:val="o"/>
      <w:lvlJc w:val="left"/>
      <w:pPr>
        <w:ind w:left="5400" w:hanging="360"/>
      </w:pPr>
      <w:rPr>
        <w:rFonts w:ascii="Courier New" w:hAnsi="Courier New" w:cs="Courier New" w:hint="default"/>
      </w:rPr>
    </w:lvl>
    <w:lvl w:ilvl="8" w:tplc="B6DA3A9E" w:tentative="1">
      <w:start w:val="1"/>
      <w:numFmt w:val="bullet"/>
      <w:lvlText w:val=""/>
      <w:lvlJc w:val="left"/>
      <w:pPr>
        <w:ind w:left="6120" w:hanging="360"/>
      </w:pPr>
      <w:rPr>
        <w:rFonts w:ascii="Wingdings" w:hAnsi="Wingdings" w:hint="default"/>
      </w:rPr>
    </w:lvl>
  </w:abstractNum>
  <w:abstractNum w:abstractNumId="1" w15:restartNumberingAfterBreak="0">
    <w:nsid w:val="0ACA2380"/>
    <w:multiLevelType w:val="hybridMultilevel"/>
    <w:tmpl w:val="394C9F20"/>
    <w:lvl w:ilvl="0" w:tplc="EDF2F71A">
      <w:start w:val="1"/>
      <w:numFmt w:val="bullet"/>
      <w:lvlText w:val=""/>
      <w:lvlJc w:val="left"/>
      <w:pPr>
        <w:ind w:left="720" w:hanging="360"/>
      </w:pPr>
      <w:rPr>
        <w:rFonts w:ascii="Symbol" w:hAnsi="Symbol" w:hint="default"/>
      </w:rPr>
    </w:lvl>
    <w:lvl w:ilvl="1" w:tplc="412240F8" w:tentative="1">
      <w:start w:val="1"/>
      <w:numFmt w:val="bullet"/>
      <w:lvlText w:val="o"/>
      <w:lvlJc w:val="left"/>
      <w:pPr>
        <w:ind w:left="1440" w:hanging="360"/>
      </w:pPr>
      <w:rPr>
        <w:rFonts w:ascii="Courier New" w:hAnsi="Courier New" w:cs="Courier New" w:hint="default"/>
      </w:rPr>
    </w:lvl>
    <w:lvl w:ilvl="2" w:tplc="C1962348" w:tentative="1">
      <w:start w:val="1"/>
      <w:numFmt w:val="bullet"/>
      <w:lvlText w:val=""/>
      <w:lvlJc w:val="left"/>
      <w:pPr>
        <w:ind w:left="2160" w:hanging="360"/>
      </w:pPr>
      <w:rPr>
        <w:rFonts w:ascii="Wingdings" w:hAnsi="Wingdings" w:hint="default"/>
      </w:rPr>
    </w:lvl>
    <w:lvl w:ilvl="3" w:tplc="D66C6BD6" w:tentative="1">
      <w:start w:val="1"/>
      <w:numFmt w:val="bullet"/>
      <w:lvlText w:val=""/>
      <w:lvlJc w:val="left"/>
      <w:pPr>
        <w:ind w:left="2880" w:hanging="360"/>
      </w:pPr>
      <w:rPr>
        <w:rFonts w:ascii="Symbol" w:hAnsi="Symbol" w:hint="default"/>
      </w:rPr>
    </w:lvl>
    <w:lvl w:ilvl="4" w:tplc="8F4AB520" w:tentative="1">
      <w:start w:val="1"/>
      <w:numFmt w:val="bullet"/>
      <w:lvlText w:val="o"/>
      <w:lvlJc w:val="left"/>
      <w:pPr>
        <w:ind w:left="3600" w:hanging="360"/>
      </w:pPr>
      <w:rPr>
        <w:rFonts w:ascii="Courier New" w:hAnsi="Courier New" w:cs="Courier New" w:hint="default"/>
      </w:rPr>
    </w:lvl>
    <w:lvl w:ilvl="5" w:tplc="1AAA567A" w:tentative="1">
      <w:start w:val="1"/>
      <w:numFmt w:val="bullet"/>
      <w:lvlText w:val=""/>
      <w:lvlJc w:val="left"/>
      <w:pPr>
        <w:ind w:left="4320" w:hanging="360"/>
      </w:pPr>
      <w:rPr>
        <w:rFonts w:ascii="Wingdings" w:hAnsi="Wingdings" w:hint="default"/>
      </w:rPr>
    </w:lvl>
    <w:lvl w:ilvl="6" w:tplc="D940296E" w:tentative="1">
      <w:start w:val="1"/>
      <w:numFmt w:val="bullet"/>
      <w:lvlText w:val=""/>
      <w:lvlJc w:val="left"/>
      <w:pPr>
        <w:ind w:left="5040" w:hanging="360"/>
      </w:pPr>
      <w:rPr>
        <w:rFonts w:ascii="Symbol" w:hAnsi="Symbol" w:hint="default"/>
      </w:rPr>
    </w:lvl>
    <w:lvl w:ilvl="7" w:tplc="EF646892" w:tentative="1">
      <w:start w:val="1"/>
      <w:numFmt w:val="bullet"/>
      <w:lvlText w:val="o"/>
      <w:lvlJc w:val="left"/>
      <w:pPr>
        <w:ind w:left="5760" w:hanging="360"/>
      </w:pPr>
      <w:rPr>
        <w:rFonts w:ascii="Courier New" w:hAnsi="Courier New" w:cs="Courier New" w:hint="default"/>
      </w:rPr>
    </w:lvl>
    <w:lvl w:ilvl="8" w:tplc="414C8EEA" w:tentative="1">
      <w:start w:val="1"/>
      <w:numFmt w:val="bullet"/>
      <w:lvlText w:val=""/>
      <w:lvlJc w:val="left"/>
      <w:pPr>
        <w:ind w:left="6480" w:hanging="360"/>
      </w:pPr>
      <w:rPr>
        <w:rFonts w:ascii="Wingdings" w:hAnsi="Wingdings" w:hint="default"/>
      </w:rPr>
    </w:lvl>
  </w:abstractNum>
  <w:abstractNum w:abstractNumId="2" w15:restartNumberingAfterBreak="0">
    <w:nsid w:val="0E6731BD"/>
    <w:multiLevelType w:val="hybridMultilevel"/>
    <w:tmpl w:val="CF8224B2"/>
    <w:lvl w:ilvl="0" w:tplc="C0F612B8">
      <w:start w:val="1"/>
      <w:numFmt w:val="bullet"/>
      <w:lvlText w:val=""/>
      <w:lvlJc w:val="left"/>
      <w:pPr>
        <w:ind w:left="720" w:hanging="360"/>
      </w:pPr>
      <w:rPr>
        <w:rFonts w:ascii="Symbol" w:hAnsi="Symbol" w:hint="default"/>
      </w:rPr>
    </w:lvl>
    <w:lvl w:ilvl="1" w:tplc="95428E8A">
      <w:start w:val="1"/>
      <w:numFmt w:val="bullet"/>
      <w:lvlText w:val="o"/>
      <w:lvlJc w:val="left"/>
      <w:pPr>
        <w:ind w:left="1440" w:hanging="360"/>
      </w:pPr>
      <w:rPr>
        <w:rFonts w:ascii="Courier New" w:hAnsi="Courier New" w:cs="Courier New" w:hint="default"/>
      </w:rPr>
    </w:lvl>
    <w:lvl w:ilvl="2" w:tplc="D92273A0" w:tentative="1">
      <w:start w:val="1"/>
      <w:numFmt w:val="bullet"/>
      <w:lvlText w:val=""/>
      <w:lvlJc w:val="left"/>
      <w:pPr>
        <w:ind w:left="2160" w:hanging="360"/>
      </w:pPr>
      <w:rPr>
        <w:rFonts w:ascii="Wingdings" w:hAnsi="Wingdings" w:hint="default"/>
      </w:rPr>
    </w:lvl>
    <w:lvl w:ilvl="3" w:tplc="28A6C1E6" w:tentative="1">
      <w:start w:val="1"/>
      <w:numFmt w:val="bullet"/>
      <w:lvlText w:val=""/>
      <w:lvlJc w:val="left"/>
      <w:pPr>
        <w:ind w:left="2880" w:hanging="360"/>
      </w:pPr>
      <w:rPr>
        <w:rFonts w:ascii="Symbol" w:hAnsi="Symbol" w:hint="default"/>
      </w:rPr>
    </w:lvl>
    <w:lvl w:ilvl="4" w:tplc="24427CBE" w:tentative="1">
      <w:start w:val="1"/>
      <w:numFmt w:val="bullet"/>
      <w:lvlText w:val="o"/>
      <w:lvlJc w:val="left"/>
      <w:pPr>
        <w:ind w:left="3600" w:hanging="360"/>
      </w:pPr>
      <w:rPr>
        <w:rFonts w:ascii="Courier New" w:hAnsi="Courier New" w:cs="Courier New" w:hint="default"/>
      </w:rPr>
    </w:lvl>
    <w:lvl w:ilvl="5" w:tplc="13924720" w:tentative="1">
      <w:start w:val="1"/>
      <w:numFmt w:val="bullet"/>
      <w:lvlText w:val=""/>
      <w:lvlJc w:val="left"/>
      <w:pPr>
        <w:ind w:left="4320" w:hanging="360"/>
      </w:pPr>
      <w:rPr>
        <w:rFonts w:ascii="Wingdings" w:hAnsi="Wingdings" w:hint="default"/>
      </w:rPr>
    </w:lvl>
    <w:lvl w:ilvl="6" w:tplc="F1643F24" w:tentative="1">
      <w:start w:val="1"/>
      <w:numFmt w:val="bullet"/>
      <w:lvlText w:val=""/>
      <w:lvlJc w:val="left"/>
      <w:pPr>
        <w:ind w:left="5040" w:hanging="360"/>
      </w:pPr>
      <w:rPr>
        <w:rFonts w:ascii="Symbol" w:hAnsi="Symbol" w:hint="default"/>
      </w:rPr>
    </w:lvl>
    <w:lvl w:ilvl="7" w:tplc="C2C0CA38" w:tentative="1">
      <w:start w:val="1"/>
      <w:numFmt w:val="bullet"/>
      <w:lvlText w:val="o"/>
      <w:lvlJc w:val="left"/>
      <w:pPr>
        <w:ind w:left="5760" w:hanging="360"/>
      </w:pPr>
      <w:rPr>
        <w:rFonts w:ascii="Courier New" w:hAnsi="Courier New" w:cs="Courier New" w:hint="default"/>
      </w:rPr>
    </w:lvl>
    <w:lvl w:ilvl="8" w:tplc="7B54E3F4" w:tentative="1">
      <w:start w:val="1"/>
      <w:numFmt w:val="bullet"/>
      <w:lvlText w:val=""/>
      <w:lvlJc w:val="left"/>
      <w:pPr>
        <w:ind w:left="6480" w:hanging="360"/>
      </w:pPr>
      <w:rPr>
        <w:rFonts w:ascii="Wingdings" w:hAnsi="Wingdings" w:hint="default"/>
      </w:rPr>
    </w:lvl>
  </w:abstractNum>
  <w:abstractNum w:abstractNumId="3" w15:restartNumberingAfterBreak="0">
    <w:nsid w:val="16514DF9"/>
    <w:multiLevelType w:val="hybridMultilevel"/>
    <w:tmpl w:val="12BCF3CC"/>
    <w:lvl w:ilvl="0" w:tplc="E5A6AE50">
      <w:start w:val="1"/>
      <w:numFmt w:val="bullet"/>
      <w:lvlText w:val=""/>
      <w:lvlJc w:val="left"/>
      <w:pPr>
        <w:ind w:left="720" w:hanging="360"/>
      </w:pPr>
      <w:rPr>
        <w:rFonts w:ascii="Symbol" w:hAnsi="Symbol" w:hint="default"/>
      </w:rPr>
    </w:lvl>
    <w:lvl w:ilvl="1" w:tplc="D63AF982" w:tentative="1">
      <w:start w:val="1"/>
      <w:numFmt w:val="bullet"/>
      <w:lvlText w:val="o"/>
      <w:lvlJc w:val="left"/>
      <w:pPr>
        <w:ind w:left="1440" w:hanging="360"/>
      </w:pPr>
      <w:rPr>
        <w:rFonts w:ascii="Courier New" w:hAnsi="Courier New" w:cs="Courier New" w:hint="default"/>
      </w:rPr>
    </w:lvl>
    <w:lvl w:ilvl="2" w:tplc="787ED7C4" w:tentative="1">
      <w:start w:val="1"/>
      <w:numFmt w:val="bullet"/>
      <w:lvlText w:val=""/>
      <w:lvlJc w:val="left"/>
      <w:pPr>
        <w:ind w:left="2160" w:hanging="360"/>
      </w:pPr>
      <w:rPr>
        <w:rFonts w:ascii="Wingdings" w:hAnsi="Wingdings" w:hint="default"/>
      </w:rPr>
    </w:lvl>
    <w:lvl w:ilvl="3" w:tplc="1D78F250" w:tentative="1">
      <w:start w:val="1"/>
      <w:numFmt w:val="bullet"/>
      <w:lvlText w:val=""/>
      <w:lvlJc w:val="left"/>
      <w:pPr>
        <w:ind w:left="2880" w:hanging="360"/>
      </w:pPr>
      <w:rPr>
        <w:rFonts w:ascii="Symbol" w:hAnsi="Symbol" w:hint="default"/>
      </w:rPr>
    </w:lvl>
    <w:lvl w:ilvl="4" w:tplc="75BE90C0" w:tentative="1">
      <w:start w:val="1"/>
      <w:numFmt w:val="bullet"/>
      <w:lvlText w:val="o"/>
      <w:lvlJc w:val="left"/>
      <w:pPr>
        <w:ind w:left="3600" w:hanging="360"/>
      </w:pPr>
      <w:rPr>
        <w:rFonts w:ascii="Courier New" w:hAnsi="Courier New" w:cs="Courier New" w:hint="default"/>
      </w:rPr>
    </w:lvl>
    <w:lvl w:ilvl="5" w:tplc="83D86494" w:tentative="1">
      <w:start w:val="1"/>
      <w:numFmt w:val="bullet"/>
      <w:lvlText w:val=""/>
      <w:lvlJc w:val="left"/>
      <w:pPr>
        <w:ind w:left="4320" w:hanging="360"/>
      </w:pPr>
      <w:rPr>
        <w:rFonts w:ascii="Wingdings" w:hAnsi="Wingdings" w:hint="default"/>
      </w:rPr>
    </w:lvl>
    <w:lvl w:ilvl="6" w:tplc="1788FBF0" w:tentative="1">
      <w:start w:val="1"/>
      <w:numFmt w:val="bullet"/>
      <w:lvlText w:val=""/>
      <w:lvlJc w:val="left"/>
      <w:pPr>
        <w:ind w:left="5040" w:hanging="360"/>
      </w:pPr>
      <w:rPr>
        <w:rFonts w:ascii="Symbol" w:hAnsi="Symbol" w:hint="default"/>
      </w:rPr>
    </w:lvl>
    <w:lvl w:ilvl="7" w:tplc="CC86A50C" w:tentative="1">
      <w:start w:val="1"/>
      <w:numFmt w:val="bullet"/>
      <w:lvlText w:val="o"/>
      <w:lvlJc w:val="left"/>
      <w:pPr>
        <w:ind w:left="5760" w:hanging="360"/>
      </w:pPr>
      <w:rPr>
        <w:rFonts w:ascii="Courier New" w:hAnsi="Courier New" w:cs="Courier New" w:hint="default"/>
      </w:rPr>
    </w:lvl>
    <w:lvl w:ilvl="8" w:tplc="4EAC95F6" w:tentative="1">
      <w:start w:val="1"/>
      <w:numFmt w:val="bullet"/>
      <w:lvlText w:val=""/>
      <w:lvlJc w:val="left"/>
      <w:pPr>
        <w:ind w:left="6480" w:hanging="360"/>
      </w:pPr>
      <w:rPr>
        <w:rFonts w:ascii="Wingdings" w:hAnsi="Wingdings" w:hint="default"/>
      </w:rPr>
    </w:lvl>
  </w:abstractNum>
  <w:abstractNum w:abstractNumId="4" w15:restartNumberingAfterBreak="0">
    <w:nsid w:val="1A444BBF"/>
    <w:multiLevelType w:val="hybridMultilevel"/>
    <w:tmpl w:val="6A84AB34"/>
    <w:lvl w:ilvl="0" w:tplc="586801A4">
      <w:start w:val="1"/>
      <w:numFmt w:val="decimal"/>
      <w:pStyle w:val="treb"/>
      <w:lvlText w:val="%1."/>
      <w:lvlJc w:val="left"/>
      <w:pPr>
        <w:ind w:left="720" w:hanging="360"/>
      </w:pPr>
      <w:rPr>
        <w:rFonts w:hint="default"/>
      </w:rPr>
    </w:lvl>
    <w:lvl w:ilvl="1" w:tplc="2E82AFB8" w:tentative="1">
      <w:start w:val="1"/>
      <w:numFmt w:val="lowerLetter"/>
      <w:lvlText w:val="%2."/>
      <w:lvlJc w:val="left"/>
      <w:pPr>
        <w:ind w:left="1440" w:hanging="360"/>
      </w:pPr>
    </w:lvl>
    <w:lvl w:ilvl="2" w:tplc="DB7224B2" w:tentative="1">
      <w:start w:val="1"/>
      <w:numFmt w:val="lowerRoman"/>
      <w:lvlText w:val="%3."/>
      <w:lvlJc w:val="right"/>
      <w:pPr>
        <w:ind w:left="2160" w:hanging="180"/>
      </w:pPr>
    </w:lvl>
    <w:lvl w:ilvl="3" w:tplc="3AE24366" w:tentative="1">
      <w:start w:val="1"/>
      <w:numFmt w:val="decimal"/>
      <w:lvlText w:val="%4."/>
      <w:lvlJc w:val="left"/>
      <w:pPr>
        <w:ind w:left="2880" w:hanging="360"/>
      </w:pPr>
    </w:lvl>
    <w:lvl w:ilvl="4" w:tplc="FCBA2DBA" w:tentative="1">
      <w:start w:val="1"/>
      <w:numFmt w:val="lowerLetter"/>
      <w:lvlText w:val="%5."/>
      <w:lvlJc w:val="left"/>
      <w:pPr>
        <w:ind w:left="3600" w:hanging="360"/>
      </w:pPr>
    </w:lvl>
    <w:lvl w:ilvl="5" w:tplc="92FC3D68" w:tentative="1">
      <w:start w:val="1"/>
      <w:numFmt w:val="lowerRoman"/>
      <w:lvlText w:val="%6."/>
      <w:lvlJc w:val="right"/>
      <w:pPr>
        <w:ind w:left="4320" w:hanging="180"/>
      </w:pPr>
    </w:lvl>
    <w:lvl w:ilvl="6" w:tplc="38F43F34" w:tentative="1">
      <w:start w:val="1"/>
      <w:numFmt w:val="decimal"/>
      <w:lvlText w:val="%7."/>
      <w:lvlJc w:val="left"/>
      <w:pPr>
        <w:ind w:left="5040" w:hanging="360"/>
      </w:pPr>
    </w:lvl>
    <w:lvl w:ilvl="7" w:tplc="336C214E" w:tentative="1">
      <w:start w:val="1"/>
      <w:numFmt w:val="lowerLetter"/>
      <w:lvlText w:val="%8."/>
      <w:lvlJc w:val="left"/>
      <w:pPr>
        <w:ind w:left="5760" w:hanging="360"/>
      </w:pPr>
    </w:lvl>
    <w:lvl w:ilvl="8" w:tplc="1B34E206" w:tentative="1">
      <w:start w:val="1"/>
      <w:numFmt w:val="lowerRoman"/>
      <w:lvlText w:val="%9."/>
      <w:lvlJc w:val="right"/>
      <w:pPr>
        <w:ind w:left="6480" w:hanging="180"/>
      </w:pPr>
    </w:lvl>
  </w:abstractNum>
  <w:abstractNum w:abstractNumId="5" w15:restartNumberingAfterBreak="0">
    <w:nsid w:val="1E4D2CDD"/>
    <w:multiLevelType w:val="hybridMultilevel"/>
    <w:tmpl w:val="CA1AD732"/>
    <w:lvl w:ilvl="0" w:tplc="4022CF10">
      <w:start w:val="1"/>
      <w:numFmt w:val="bullet"/>
      <w:lvlText w:val=""/>
      <w:lvlJc w:val="left"/>
      <w:pPr>
        <w:ind w:left="720" w:hanging="360"/>
      </w:pPr>
      <w:rPr>
        <w:rFonts w:ascii="Symbol" w:hAnsi="Symbol" w:hint="default"/>
      </w:rPr>
    </w:lvl>
    <w:lvl w:ilvl="1" w:tplc="5504F2E6" w:tentative="1">
      <w:start w:val="1"/>
      <w:numFmt w:val="bullet"/>
      <w:lvlText w:val="o"/>
      <w:lvlJc w:val="left"/>
      <w:pPr>
        <w:ind w:left="1440" w:hanging="360"/>
      </w:pPr>
      <w:rPr>
        <w:rFonts w:ascii="Courier New" w:hAnsi="Courier New" w:cs="Courier New" w:hint="default"/>
      </w:rPr>
    </w:lvl>
    <w:lvl w:ilvl="2" w:tplc="FA4A7E3E" w:tentative="1">
      <w:start w:val="1"/>
      <w:numFmt w:val="bullet"/>
      <w:lvlText w:val=""/>
      <w:lvlJc w:val="left"/>
      <w:pPr>
        <w:ind w:left="2160" w:hanging="360"/>
      </w:pPr>
      <w:rPr>
        <w:rFonts w:ascii="Wingdings" w:hAnsi="Wingdings" w:hint="default"/>
      </w:rPr>
    </w:lvl>
    <w:lvl w:ilvl="3" w:tplc="B260BFE4" w:tentative="1">
      <w:start w:val="1"/>
      <w:numFmt w:val="bullet"/>
      <w:lvlText w:val=""/>
      <w:lvlJc w:val="left"/>
      <w:pPr>
        <w:ind w:left="2880" w:hanging="360"/>
      </w:pPr>
      <w:rPr>
        <w:rFonts w:ascii="Symbol" w:hAnsi="Symbol" w:hint="default"/>
      </w:rPr>
    </w:lvl>
    <w:lvl w:ilvl="4" w:tplc="0716498C" w:tentative="1">
      <w:start w:val="1"/>
      <w:numFmt w:val="bullet"/>
      <w:lvlText w:val="o"/>
      <w:lvlJc w:val="left"/>
      <w:pPr>
        <w:ind w:left="3600" w:hanging="360"/>
      </w:pPr>
      <w:rPr>
        <w:rFonts w:ascii="Courier New" w:hAnsi="Courier New" w:cs="Courier New" w:hint="default"/>
      </w:rPr>
    </w:lvl>
    <w:lvl w:ilvl="5" w:tplc="D096BE2E" w:tentative="1">
      <w:start w:val="1"/>
      <w:numFmt w:val="bullet"/>
      <w:lvlText w:val=""/>
      <w:lvlJc w:val="left"/>
      <w:pPr>
        <w:ind w:left="4320" w:hanging="360"/>
      </w:pPr>
      <w:rPr>
        <w:rFonts w:ascii="Wingdings" w:hAnsi="Wingdings" w:hint="default"/>
      </w:rPr>
    </w:lvl>
    <w:lvl w:ilvl="6" w:tplc="74DEC2FA" w:tentative="1">
      <w:start w:val="1"/>
      <w:numFmt w:val="bullet"/>
      <w:lvlText w:val=""/>
      <w:lvlJc w:val="left"/>
      <w:pPr>
        <w:ind w:left="5040" w:hanging="360"/>
      </w:pPr>
      <w:rPr>
        <w:rFonts w:ascii="Symbol" w:hAnsi="Symbol" w:hint="default"/>
      </w:rPr>
    </w:lvl>
    <w:lvl w:ilvl="7" w:tplc="7890BF50" w:tentative="1">
      <w:start w:val="1"/>
      <w:numFmt w:val="bullet"/>
      <w:lvlText w:val="o"/>
      <w:lvlJc w:val="left"/>
      <w:pPr>
        <w:ind w:left="5760" w:hanging="360"/>
      </w:pPr>
      <w:rPr>
        <w:rFonts w:ascii="Courier New" w:hAnsi="Courier New" w:cs="Courier New" w:hint="default"/>
      </w:rPr>
    </w:lvl>
    <w:lvl w:ilvl="8" w:tplc="D90E6AFA" w:tentative="1">
      <w:start w:val="1"/>
      <w:numFmt w:val="bullet"/>
      <w:lvlText w:val=""/>
      <w:lvlJc w:val="left"/>
      <w:pPr>
        <w:ind w:left="6480" w:hanging="360"/>
      </w:pPr>
      <w:rPr>
        <w:rFonts w:ascii="Wingdings" w:hAnsi="Wingdings" w:hint="default"/>
      </w:rPr>
    </w:lvl>
  </w:abstractNum>
  <w:abstractNum w:abstractNumId="6" w15:restartNumberingAfterBreak="0">
    <w:nsid w:val="204110DF"/>
    <w:multiLevelType w:val="hybridMultilevel"/>
    <w:tmpl w:val="DEBEA064"/>
    <w:lvl w:ilvl="0" w:tplc="AD60DEA6">
      <w:start w:val="1"/>
      <w:numFmt w:val="bullet"/>
      <w:lvlText w:val=""/>
      <w:lvlJc w:val="left"/>
      <w:pPr>
        <w:ind w:left="720" w:hanging="360"/>
      </w:pPr>
      <w:rPr>
        <w:rFonts w:ascii="Symbol" w:hAnsi="Symbol" w:hint="default"/>
      </w:rPr>
    </w:lvl>
    <w:lvl w:ilvl="1" w:tplc="2B2ED894" w:tentative="1">
      <w:start w:val="1"/>
      <w:numFmt w:val="bullet"/>
      <w:lvlText w:val="o"/>
      <w:lvlJc w:val="left"/>
      <w:pPr>
        <w:ind w:left="1440" w:hanging="360"/>
      </w:pPr>
      <w:rPr>
        <w:rFonts w:ascii="Courier New" w:hAnsi="Courier New" w:cs="Courier New" w:hint="default"/>
      </w:rPr>
    </w:lvl>
    <w:lvl w:ilvl="2" w:tplc="2B26A282" w:tentative="1">
      <w:start w:val="1"/>
      <w:numFmt w:val="bullet"/>
      <w:lvlText w:val=""/>
      <w:lvlJc w:val="left"/>
      <w:pPr>
        <w:ind w:left="2160" w:hanging="360"/>
      </w:pPr>
      <w:rPr>
        <w:rFonts w:ascii="Wingdings" w:hAnsi="Wingdings" w:hint="default"/>
      </w:rPr>
    </w:lvl>
    <w:lvl w:ilvl="3" w:tplc="C254B4A2" w:tentative="1">
      <w:start w:val="1"/>
      <w:numFmt w:val="bullet"/>
      <w:lvlText w:val=""/>
      <w:lvlJc w:val="left"/>
      <w:pPr>
        <w:ind w:left="2880" w:hanging="360"/>
      </w:pPr>
      <w:rPr>
        <w:rFonts w:ascii="Symbol" w:hAnsi="Symbol" w:hint="default"/>
      </w:rPr>
    </w:lvl>
    <w:lvl w:ilvl="4" w:tplc="1AF21972" w:tentative="1">
      <w:start w:val="1"/>
      <w:numFmt w:val="bullet"/>
      <w:lvlText w:val="o"/>
      <w:lvlJc w:val="left"/>
      <w:pPr>
        <w:ind w:left="3600" w:hanging="360"/>
      </w:pPr>
      <w:rPr>
        <w:rFonts w:ascii="Courier New" w:hAnsi="Courier New" w:cs="Courier New" w:hint="default"/>
      </w:rPr>
    </w:lvl>
    <w:lvl w:ilvl="5" w:tplc="A5C27E0A" w:tentative="1">
      <w:start w:val="1"/>
      <w:numFmt w:val="bullet"/>
      <w:lvlText w:val=""/>
      <w:lvlJc w:val="left"/>
      <w:pPr>
        <w:ind w:left="4320" w:hanging="360"/>
      </w:pPr>
      <w:rPr>
        <w:rFonts w:ascii="Wingdings" w:hAnsi="Wingdings" w:hint="default"/>
      </w:rPr>
    </w:lvl>
    <w:lvl w:ilvl="6" w:tplc="B1881E7A" w:tentative="1">
      <w:start w:val="1"/>
      <w:numFmt w:val="bullet"/>
      <w:lvlText w:val=""/>
      <w:lvlJc w:val="left"/>
      <w:pPr>
        <w:ind w:left="5040" w:hanging="360"/>
      </w:pPr>
      <w:rPr>
        <w:rFonts w:ascii="Symbol" w:hAnsi="Symbol" w:hint="default"/>
      </w:rPr>
    </w:lvl>
    <w:lvl w:ilvl="7" w:tplc="AF9A2C8E" w:tentative="1">
      <w:start w:val="1"/>
      <w:numFmt w:val="bullet"/>
      <w:lvlText w:val="o"/>
      <w:lvlJc w:val="left"/>
      <w:pPr>
        <w:ind w:left="5760" w:hanging="360"/>
      </w:pPr>
      <w:rPr>
        <w:rFonts w:ascii="Courier New" w:hAnsi="Courier New" w:cs="Courier New" w:hint="default"/>
      </w:rPr>
    </w:lvl>
    <w:lvl w:ilvl="8" w:tplc="88C08F8C" w:tentative="1">
      <w:start w:val="1"/>
      <w:numFmt w:val="bullet"/>
      <w:lvlText w:val=""/>
      <w:lvlJc w:val="left"/>
      <w:pPr>
        <w:ind w:left="6480" w:hanging="360"/>
      </w:pPr>
      <w:rPr>
        <w:rFonts w:ascii="Wingdings" w:hAnsi="Wingdings" w:hint="default"/>
      </w:rPr>
    </w:lvl>
  </w:abstractNum>
  <w:abstractNum w:abstractNumId="7" w15:restartNumberingAfterBreak="0">
    <w:nsid w:val="2F4A5E66"/>
    <w:multiLevelType w:val="hybridMultilevel"/>
    <w:tmpl w:val="53A65DCE"/>
    <w:lvl w:ilvl="0" w:tplc="8634D79E">
      <w:start w:val="1"/>
      <w:numFmt w:val="bullet"/>
      <w:lvlText w:val=""/>
      <w:lvlJc w:val="left"/>
      <w:pPr>
        <w:ind w:left="720" w:hanging="360"/>
      </w:pPr>
      <w:rPr>
        <w:rFonts w:ascii="Symbol" w:hAnsi="Symbol" w:hint="default"/>
      </w:rPr>
    </w:lvl>
    <w:lvl w:ilvl="1" w:tplc="5014738C">
      <w:start w:val="1"/>
      <w:numFmt w:val="bullet"/>
      <w:lvlText w:val="o"/>
      <w:lvlJc w:val="left"/>
      <w:pPr>
        <w:ind w:left="1440" w:hanging="360"/>
      </w:pPr>
      <w:rPr>
        <w:rFonts w:ascii="Courier New" w:hAnsi="Courier New" w:cs="Courier New" w:hint="default"/>
      </w:rPr>
    </w:lvl>
    <w:lvl w:ilvl="2" w:tplc="60061C02" w:tentative="1">
      <w:start w:val="1"/>
      <w:numFmt w:val="bullet"/>
      <w:lvlText w:val=""/>
      <w:lvlJc w:val="left"/>
      <w:pPr>
        <w:ind w:left="2160" w:hanging="360"/>
      </w:pPr>
      <w:rPr>
        <w:rFonts w:ascii="Wingdings" w:hAnsi="Wingdings" w:hint="default"/>
      </w:rPr>
    </w:lvl>
    <w:lvl w:ilvl="3" w:tplc="E9A036E6" w:tentative="1">
      <w:start w:val="1"/>
      <w:numFmt w:val="bullet"/>
      <w:lvlText w:val=""/>
      <w:lvlJc w:val="left"/>
      <w:pPr>
        <w:ind w:left="2880" w:hanging="360"/>
      </w:pPr>
      <w:rPr>
        <w:rFonts w:ascii="Symbol" w:hAnsi="Symbol" w:hint="default"/>
      </w:rPr>
    </w:lvl>
    <w:lvl w:ilvl="4" w:tplc="6E2CE616" w:tentative="1">
      <w:start w:val="1"/>
      <w:numFmt w:val="bullet"/>
      <w:lvlText w:val="o"/>
      <w:lvlJc w:val="left"/>
      <w:pPr>
        <w:ind w:left="3600" w:hanging="360"/>
      </w:pPr>
      <w:rPr>
        <w:rFonts w:ascii="Courier New" w:hAnsi="Courier New" w:cs="Courier New" w:hint="default"/>
      </w:rPr>
    </w:lvl>
    <w:lvl w:ilvl="5" w:tplc="55307A8C" w:tentative="1">
      <w:start w:val="1"/>
      <w:numFmt w:val="bullet"/>
      <w:lvlText w:val=""/>
      <w:lvlJc w:val="left"/>
      <w:pPr>
        <w:ind w:left="4320" w:hanging="360"/>
      </w:pPr>
      <w:rPr>
        <w:rFonts w:ascii="Wingdings" w:hAnsi="Wingdings" w:hint="default"/>
      </w:rPr>
    </w:lvl>
    <w:lvl w:ilvl="6" w:tplc="D2663AAE" w:tentative="1">
      <w:start w:val="1"/>
      <w:numFmt w:val="bullet"/>
      <w:lvlText w:val=""/>
      <w:lvlJc w:val="left"/>
      <w:pPr>
        <w:ind w:left="5040" w:hanging="360"/>
      </w:pPr>
      <w:rPr>
        <w:rFonts w:ascii="Symbol" w:hAnsi="Symbol" w:hint="default"/>
      </w:rPr>
    </w:lvl>
    <w:lvl w:ilvl="7" w:tplc="82B83F6E" w:tentative="1">
      <w:start w:val="1"/>
      <w:numFmt w:val="bullet"/>
      <w:lvlText w:val="o"/>
      <w:lvlJc w:val="left"/>
      <w:pPr>
        <w:ind w:left="5760" w:hanging="360"/>
      </w:pPr>
      <w:rPr>
        <w:rFonts w:ascii="Courier New" w:hAnsi="Courier New" w:cs="Courier New" w:hint="default"/>
      </w:rPr>
    </w:lvl>
    <w:lvl w:ilvl="8" w:tplc="B81A6064" w:tentative="1">
      <w:start w:val="1"/>
      <w:numFmt w:val="bullet"/>
      <w:lvlText w:val=""/>
      <w:lvlJc w:val="left"/>
      <w:pPr>
        <w:ind w:left="6480" w:hanging="360"/>
      </w:pPr>
      <w:rPr>
        <w:rFonts w:ascii="Wingdings" w:hAnsi="Wingdings" w:hint="default"/>
      </w:rPr>
    </w:lvl>
  </w:abstractNum>
  <w:abstractNum w:abstractNumId="8" w15:restartNumberingAfterBreak="0">
    <w:nsid w:val="3395215C"/>
    <w:multiLevelType w:val="hybridMultilevel"/>
    <w:tmpl w:val="F93E7B0A"/>
    <w:lvl w:ilvl="0" w:tplc="0CFA4BD8">
      <w:start w:val="1"/>
      <w:numFmt w:val="bullet"/>
      <w:lvlText w:val=""/>
      <w:lvlJc w:val="left"/>
      <w:pPr>
        <w:ind w:left="720" w:hanging="360"/>
      </w:pPr>
      <w:rPr>
        <w:rFonts w:ascii="Symbol" w:hAnsi="Symbol" w:hint="default"/>
      </w:rPr>
    </w:lvl>
    <w:lvl w:ilvl="1" w:tplc="27787784" w:tentative="1">
      <w:start w:val="1"/>
      <w:numFmt w:val="bullet"/>
      <w:lvlText w:val="o"/>
      <w:lvlJc w:val="left"/>
      <w:pPr>
        <w:ind w:left="1440" w:hanging="360"/>
      </w:pPr>
      <w:rPr>
        <w:rFonts w:ascii="Courier New" w:hAnsi="Courier New" w:cs="Courier New" w:hint="default"/>
      </w:rPr>
    </w:lvl>
    <w:lvl w:ilvl="2" w:tplc="6C8255EC" w:tentative="1">
      <w:start w:val="1"/>
      <w:numFmt w:val="bullet"/>
      <w:lvlText w:val=""/>
      <w:lvlJc w:val="left"/>
      <w:pPr>
        <w:ind w:left="2160" w:hanging="360"/>
      </w:pPr>
      <w:rPr>
        <w:rFonts w:ascii="Wingdings" w:hAnsi="Wingdings" w:hint="default"/>
      </w:rPr>
    </w:lvl>
    <w:lvl w:ilvl="3" w:tplc="ACD26240" w:tentative="1">
      <w:start w:val="1"/>
      <w:numFmt w:val="bullet"/>
      <w:lvlText w:val=""/>
      <w:lvlJc w:val="left"/>
      <w:pPr>
        <w:ind w:left="2880" w:hanging="360"/>
      </w:pPr>
      <w:rPr>
        <w:rFonts w:ascii="Symbol" w:hAnsi="Symbol" w:hint="default"/>
      </w:rPr>
    </w:lvl>
    <w:lvl w:ilvl="4" w:tplc="8D9E4D40" w:tentative="1">
      <w:start w:val="1"/>
      <w:numFmt w:val="bullet"/>
      <w:lvlText w:val="o"/>
      <w:lvlJc w:val="left"/>
      <w:pPr>
        <w:ind w:left="3600" w:hanging="360"/>
      </w:pPr>
      <w:rPr>
        <w:rFonts w:ascii="Courier New" w:hAnsi="Courier New" w:cs="Courier New" w:hint="default"/>
      </w:rPr>
    </w:lvl>
    <w:lvl w:ilvl="5" w:tplc="107813B4" w:tentative="1">
      <w:start w:val="1"/>
      <w:numFmt w:val="bullet"/>
      <w:lvlText w:val=""/>
      <w:lvlJc w:val="left"/>
      <w:pPr>
        <w:ind w:left="4320" w:hanging="360"/>
      </w:pPr>
      <w:rPr>
        <w:rFonts w:ascii="Wingdings" w:hAnsi="Wingdings" w:hint="default"/>
      </w:rPr>
    </w:lvl>
    <w:lvl w:ilvl="6" w:tplc="55064CD4" w:tentative="1">
      <w:start w:val="1"/>
      <w:numFmt w:val="bullet"/>
      <w:lvlText w:val=""/>
      <w:lvlJc w:val="left"/>
      <w:pPr>
        <w:ind w:left="5040" w:hanging="360"/>
      </w:pPr>
      <w:rPr>
        <w:rFonts w:ascii="Symbol" w:hAnsi="Symbol" w:hint="default"/>
      </w:rPr>
    </w:lvl>
    <w:lvl w:ilvl="7" w:tplc="D6EEF268" w:tentative="1">
      <w:start w:val="1"/>
      <w:numFmt w:val="bullet"/>
      <w:lvlText w:val="o"/>
      <w:lvlJc w:val="left"/>
      <w:pPr>
        <w:ind w:left="5760" w:hanging="360"/>
      </w:pPr>
      <w:rPr>
        <w:rFonts w:ascii="Courier New" w:hAnsi="Courier New" w:cs="Courier New" w:hint="default"/>
      </w:rPr>
    </w:lvl>
    <w:lvl w:ilvl="8" w:tplc="22F8E2A6" w:tentative="1">
      <w:start w:val="1"/>
      <w:numFmt w:val="bullet"/>
      <w:lvlText w:val=""/>
      <w:lvlJc w:val="left"/>
      <w:pPr>
        <w:ind w:left="6480" w:hanging="360"/>
      </w:pPr>
      <w:rPr>
        <w:rFonts w:ascii="Wingdings" w:hAnsi="Wingdings" w:hint="default"/>
      </w:rPr>
    </w:lvl>
  </w:abstractNum>
  <w:abstractNum w:abstractNumId="9" w15:restartNumberingAfterBreak="0">
    <w:nsid w:val="3CA138F6"/>
    <w:multiLevelType w:val="hybridMultilevel"/>
    <w:tmpl w:val="D5A0E81A"/>
    <w:lvl w:ilvl="0" w:tplc="66CAAD2E">
      <w:start w:val="1"/>
      <w:numFmt w:val="bullet"/>
      <w:lvlText w:val=""/>
      <w:lvlJc w:val="left"/>
      <w:pPr>
        <w:ind w:left="720" w:hanging="360"/>
      </w:pPr>
      <w:rPr>
        <w:rFonts w:ascii="Symbol" w:hAnsi="Symbol" w:hint="default"/>
      </w:rPr>
    </w:lvl>
    <w:lvl w:ilvl="1" w:tplc="2EC6BB9C" w:tentative="1">
      <w:start w:val="1"/>
      <w:numFmt w:val="bullet"/>
      <w:lvlText w:val="o"/>
      <w:lvlJc w:val="left"/>
      <w:pPr>
        <w:ind w:left="1440" w:hanging="360"/>
      </w:pPr>
      <w:rPr>
        <w:rFonts w:ascii="Courier New" w:hAnsi="Courier New" w:cs="Courier New" w:hint="default"/>
      </w:rPr>
    </w:lvl>
    <w:lvl w:ilvl="2" w:tplc="00949714" w:tentative="1">
      <w:start w:val="1"/>
      <w:numFmt w:val="bullet"/>
      <w:lvlText w:val=""/>
      <w:lvlJc w:val="left"/>
      <w:pPr>
        <w:ind w:left="2160" w:hanging="360"/>
      </w:pPr>
      <w:rPr>
        <w:rFonts w:ascii="Wingdings" w:hAnsi="Wingdings" w:hint="default"/>
      </w:rPr>
    </w:lvl>
    <w:lvl w:ilvl="3" w:tplc="69C629BA" w:tentative="1">
      <w:start w:val="1"/>
      <w:numFmt w:val="bullet"/>
      <w:lvlText w:val=""/>
      <w:lvlJc w:val="left"/>
      <w:pPr>
        <w:ind w:left="2880" w:hanging="360"/>
      </w:pPr>
      <w:rPr>
        <w:rFonts w:ascii="Symbol" w:hAnsi="Symbol" w:hint="default"/>
      </w:rPr>
    </w:lvl>
    <w:lvl w:ilvl="4" w:tplc="4554F3B8" w:tentative="1">
      <w:start w:val="1"/>
      <w:numFmt w:val="bullet"/>
      <w:lvlText w:val="o"/>
      <w:lvlJc w:val="left"/>
      <w:pPr>
        <w:ind w:left="3600" w:hanging="360"/>
      </w:pPr>
      <w:rPr>
        <w:rFonts w:ascii="Courier New" w:hAnsi="Courier New" w:cs="Courier New" w:hint="default"/>
      </w:rPr>
    </w:lvl>
    <w:lvl w:ilvl="5" w:tplc="8CF06622" w:tentative="1">
      <w:start w:val="1"/>
      <w:numFmt w:val="bullet"/>
      <w:lvlText w:val=""/>
      <w:lvlJc w:val="left"/>
      <w:pPr>
        <w:ind w:left="4320" w:hanging="360"/>
      </w:pPr>
      <w:rPr>
        <w:rFonts w:ascii="Wingdings" w:hAnsi="Wingdings" w:hint="default"/>
      </w:rPr>
    </w:lvl>
    <w:lvl w:ilvl="6" w:tplc="B886612C" w:tentative="1">
      <w:start w:val="1"/>
      <w:numFmt w:val="bullet"/>
      <w:lvlText w:val=""/>
      <w:lvlJc w:val="left"/>
      <w:pPr>
        <w:ind w:left="5040" w:hanging="360"/>
      </w:pPr>
      <w:rPr>
        <w:rFonts w:ascii="Symbol" w:hAnsi="Symbol" w:hint="default"/>
      </w:rPr>
    </w:lvl>
    <w:lvl w:ilvl="7" w:tplc="563A6836" w:tentative="1">
      <w:start w:val="1"/>
      <w:numFmt w:val="bullet"/>
      <w:lvlText w:val="o"/>
      <w:lvlJc w:val="left"/>
      <w:pPr>
        <w:ind w:left="5760" w:hanging="360"/>
      </w:pPr>
      <w:rPr>
        <w:rFonts w:ascii="Courier New" w:hAnsi="Courier New" w:cs="Courier New" w:hint="default"/>
      </w:rPr>
    </w:lvl>
    <w:lvl w:ilvl="8" w:tplc="57722924" w:tentative="1">
      <w:start w:val="1"/>
      <w:numFmt w:val="bullet"/>
      <w:lvlText w:val=""/>
      <w:lvlJc w:val="left"/>
      <w:pPr>
        <w:ind w:left="6480" w:hanging="360"/>
      </w:pPr>
      <w:rPr>
        <w:rFonts w:ascii="Wingdings" w:hAnsi="Wingdings" w:hint="default"/>
      </w:rPr>
    </w:lvl>
  </w:abstractNum>
  <w:abstractNum w:abstractNumId="10" w15:restartNumberingAfterBreak="0">
    <w:nsid w:val="41121C39"/>
    <w:multiLevelType w:val="multilevel"/>
    <w:tmpl w:val="F27C0598"/>
    <w:lvl w:ilvl="0">
      <w:start w:val="1"/>
      <w:numFmt w:val="none"/>
      <w:pStyle w:val="LPPBodytext"/>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29E6D36"/>
    <w:multiLevelType w:val="hybridMultilevel"/>
    <w:tmpl w:val="0EBA61DC"/>
    <w:lvl w:ilvl="0" w:tplc="6FFC90FA">
      <w:start w:val="1"/>
      <w:numFmt w:val="bullet"/>
      <w:lvlText w:val=""/>
      <w:lvlJc w:val="left"/>
      <w:pPr>
        <w:ind w:left="720" w:hanging="360"/>
      </w:pPr>
      <w:rPr>
        <w:rFonts w:ascii="Symbol" w:hAnsi="Symbol" w:hint="default"/>
      </w:rPr>
    </w:lvl>
    <w:lvl w:ilvl="1" w:tplc="6226E424" w:tentative="1">
      <w:start w:val="1"/>
      <w:numFmt w:val="bullet"/>
      <w:lvlText w:val="o"/>
      <w:lvlJc w:val="left"/>
      <w:pPr>
        <w:ind w:left="1440" w:hanging="360"/>
      </w:pPr>
      <w:rPr>
        <w:rFonts w:ascii="Courier New" w:hAnsi="Courier New" w:cs="Courier New" w:hint="default"/>
      </w:rPr>
    </w:lvl>
    <w:lvl w:ilvl="2" w:tplc="F9C6A9E0" w:tentative="1">
      <w:start w:val="1"/>
      <w:numFmt w:val="bullet"/>
      <w:lvlText w:val=""/>
      <w:lvlJc w:val="left"/>
      <w:pPr>
        <w:ind w:left="2160" w:hanging="360"/>
      </w:pPr>
      <w:rPr>
        <w:rFonts w:ascii="Wingdings" w:hAnsi="Wingdings" w:hint="default"/>
      </w:rPr>
    </w:lvl>
    <w:lvl w:ilvl="3" w:tplc="9D0AEECC" w:tentative="1">
      <w:start w:val="1"/>
      <w:numFmt w:val="bullet"/>
      <w:lvlText w:val=""/>
      <w:lvlJc w:val="left"/>
      <w:pPr>
        <w:ind w:left="2880" w:hanging="360"/>
      </w:pPr>
      <w:rPr>
        <w:rFonts w:ascii="Symbol" w:hAnsi="Symbol" w:hint="default"/>
      </w:rPr>
    </w:lvl>
    <w:lvl w:ilvl="4" w:tplc="CF488B92" w:tentative="1">
      <w:start w:val="1"/>
      <w:numFmt w:val="bullet"/>
      <w:lvlText w:val="o"/>
      <w:lvlJc w:val="left"/>
      <w:pPr>
        <w:ind w:left="3600" w:hanging="360"/>
      </w:pPr>
      <w:rPr>
        <w:rFonts w:ascii="Courier New" w:hAnsi="Courier New" w:cs="Courier New" w:hint="default"/>
      </w:rPr>
    </w:lvl>
    <w:lvl w:ilvl="5" w:tplc="D8D61CC6" w:tentative="1">
      <w:start w:val="1"/>
      <w:numFmt w:val="bullet"/>
      <w:lvlText w:val=""/>
      <w:lvlJc w:val="left"/>
      <w:pPr>
        <w:ind w:left="4320" w:hanging="360"/>
      </w:pPr>
      <w:rPr>
        <w:rFonts w:ascii="Wingdings" w:hAnsi="Wingdings" w:hint="default"/>
      </w:rPr>
    </w:lvl>
    <w:lvl w:ilvl="6" w:tplc="60865472" w:tentative="1">
      <w:start w:val="1"/>
      <w:numFmt w:val="bullet"/>
      <w:lvlText w:val=""/>
      <w:lvlJc w:val="left"/>
      <w:pPr>
        <w:ind w:left="5040" w:hanging="360"/>
      </w:pPr>
      <w:rPr>
        <w:rFonts w:ascii="Symbol" w:hAnsi="Symbol" w:hint="default"/>
      </w:rPr>
    </w:lvl>
    <w:lvl w:ilvl="7" w:tplc="13DEABF2" w:tentative="1">
      <w:start w:val="1"/>
      <w:numFmt w:val="bullet"/>
      <w:lvlText w:val="o"/>
      <w:lvlJc w:val="left"/>
      <w:pPr>
        <w:ind w:left="5760" w:hanging="360"/>
      </w:pPr>
      <w:rPr>
        <w:rFonts w:ascii="Courier New" w:hAnsi="Courier New" w:cs="Courier New" w:hint="default"/>
      </w:rPr>
    </w:lvl>
    <w:lvl w:ilvl="8" w:tplc="E2B60D52" w:tentative="1">
      <w:start w:val="1"/>
      <w:numFmt w:val="bullet"/>
      <w:lvlText w:val=""/>
      <w:lvlJc w:val="left"/>
      <w:pPr>
        <w:ind w:left="6480" w:hanging="360"/>
      </w:pPr>
      <w:rPr>
        <w:rFonts w:ascii="Wingdings" w:hAnsi="Wingdings" w:hint="default"/>
      </w:rPr>
    </w:lvl>
  </w:abstractNum>
  <w:abstractNum w:abstractNumId="12" w15:restartNumberingAfterBreak="0">
    <w:nsid w:val="48633676"/>
    <w:multiLevelType w:val="hybridMultilevel"/>
    <w:tmpl w:val="CCDCB8A0"/>
    <w:lvl w:ilvl="0" w:tplc="2E0CF5F2">
      <w:start w:val="1"/>
      <w:numFmt w:val="decimal"/>
      <w:lvlText w:val="%1)"/>
      <w:lvlJc w:val="left"/>
      <w:pPr>
        <w:ind w:left="360" w:hanging="360"/>
      </w:pPr>
      <w:rPr>
        <w:rFonts w:hint="default"/>
      </w:rPr>
    </w:lvl>
    <w:lvl w:ilvl="1" w:tplc="025CD524" w:tentative="1">
      <w:start w:val="1"/>
      <w:numFmt w:val="lowerLetter"/>
      <w:lvlText w:val="%2."/>
      <w:lvlJc w:val="left"/>
      <w:pPr>
        <w:ind w:left="1080" w:hanging="360"/>
      </w:pPr>
    </w:lvl>
    <w:lvl w:ilvl="2" w:tplc="63AAEB3E" w:tentative="1">
      <w:start w:val="1"/>
      <w:numFmt w:val="lowerRoman"/>
      <w:lvlText w:val="%3."/>
      <w:lvlJc w:val="right"/>
      <w:pPr>
        <w:ind w:left="1800" w:hanging="180"/>
      </w:pPr>
    </w:lvl>
    <w:lvl w:ilvl="3" w:tplc="3C7A71B4" w:tentative="1">
      <w:start w:val="1"/>
      <w:numFmt w:val="decimal"/>
      <w:lvlText w:val="%4."/>
      <w:lvlJc w:val="left"/>
      <w:pPr>
        <w:ind w:left="2520" w:hanging="360"/>
      </w:pPr>
    </w:lvl>
    <w:lvl w:ilvl="4" w:tplc="8B220A02" w:tentative="1">
      <w:start w:val="1"/>
      <w:numFmt w:val="lowerLetter"/>
      <w:lvlText w:val="%5."/>
      <w:lvlJc w:val="left"/>
      <w:pPr>
        <w:ind w:left="3240" w:hanging="360"/>
      </w:pPr>
    </w:lvl>
    <w:lvl w:ilvl="5" w:tplc="3886EDF6" w:tentative="1">
      <w:start w:val="1"/>
      <w:numFmt w:val="lowerRoman"/>
      <w:lvlText w:val="%6."/>
      <w:lvlJc w:val="right"/>
      <w:pPr>
        <w:ind w:left="3960" w:hanging="180"/>
      </w:pPr>
    </w:lvl>
    <w:lvl w:ilvl="6" w:tplc="9126D5BA" w:tentative="1">
      <w:start w:val="1"/>
      <w:numFmt w:val="decimal"/>
      <w:lvlText w:val="%7."/>
      <w:lvlJc w:val="left"/>
      <w:pPr>
        <w:ind w:left="4680" w:hanging="360"/>
      </w:pPr>
    </w:lvl>
    <w:lvl w:ilvl="7" w:tplc="F38E48AA" w:tentative="1">
      <w:start w:val="1"/>
      <w:numFmt w:val="lowerLetter"/>
      <w:lvlText w:val="%8."/>
      <w:lvlJc w:val="left"/>
      <w:pPr>
        <w:ind w:left="5400" w:hanging="360"/>
      </w:pPr>
    </w:lvl>
    <w:lvl w:ilvl="8" w:tplc="1034D92E" w:tentative="1">
      <w:start w:val="1"/>
      <w:numFmt w:val="lowerRoman"/>
      <w:lvlText w:val="%9."/>
      <w:lvlJc w:val="right"/>
      <w:pPr>
        <w:ind w:left="6120" w:hanging="180"/>
      </w:pPr>
    </w:lvl>
  </w:abstractNum>
  <w:abstractNum w:abstractNumId="13" w15:restartNumberingAfterBreak="0">
    <w:nsid w:val="48B915C0"/>
    <w:multiLevelType w:val="multilevel"/>
    <w:tmpl w:val="4D0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94E2A"/>
    <w:multiLevelType w:val="multilevel"/>
    <w:tmpl w:val="F2427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631BC"/>
    <w:multiLevelType w:val="hybridMultilevel"/>
    <w:tmpl w:val="728A788A"/>
    <w:lvl w:ilvl="0" w:tplc="560ED806">
      <w:start w:val="1"/>
      <w:numFmt w:val="bullet"/>
      <w:lvlText w:val=""/>
      <w:lvlJc w:val="left"/>
      <w:pPr>
        <w:ind w:left="720" w:hanging="360"/>
      </w:pPr>
      <w:rPr>
        <w:rFonts w:ascii="Symbol" w:hAnsi="Symbol" w:hint="default"/>
      </w:rPr>
    </w:lvl>
    <w:lvl w:ilvl="1" w:tplc="17161592" w:tentative="1">
      <w:start w:val="1"/>
      <w:numFmt w:val="lowerLetter"/>
      <w:lvlText w:val="%2."/>
      <w:lvlJc w:val="left"/>
      <w:pPr>
        <w:ind w:left="1440" w:hanging="360"/>
      </w:pPr>
    </w:lvl>
    <w:lvl w:ilvl="2" w:tplc="DEBA30A2" w:tentative="1">
      <w:start w:val="1"/>
      <w:numFmt w:val="lowerRoman"/>
      <w:lvlText w:val="%3."/>
      <w:lvlJc w:val="right"/>
      <w:pPr>
        <w:ind w:left="2160" w:hanging="180"/>
      </w:pPr>
    </w:lvl>
    <w:lvl w:ilvl="3" w:tplc="33361A48" w:tentative="1">
      <w:start w:val="1"/>
      <w:numFmt w:val="decimal"/>
      <w:lvlText w:val="%4."/>
      <w:lvlJc w:val="left"/>
      <w:pPr>
        <w:ind w:left="2880" w:hanging="360"/>
      </w:pPr>
    </w:lvl>
    <w:lvl w:ilvl="4" w:tplc="92A2F9CE" w:tentative="1">
      <w:start w:val="1"/>
      <w:numFmt w:val="lowerLetter"/>
      <w:lvlText w:val="%5."/>
      <w:lvlJc w:val="left"/>
      <w:pPr>
        <w:ind w:left="3600" w:hanging="360"/>
      </w:pPr>
    </w:lvl>
    <w:lvl w:ilvl="5" w:tplc="FD5A24B0" w:tentative="1">
      <w:start w:val="1"/>
      <w:numFmt w:val="lowerRoman"/>
      <w:lvlText w:val="%6."/>
      <w:lvlJc w:val="right"/>
      <w:pPr>
        <w:ind w:left="4320" w:hanging="180"/>
      </w:pPr>
    </w:lvl>
    <w:lvl w:ilvl="6" w:tplc="B5EA8AFC" w:tentative="1">
      <w:start w:val="1"/>
      <w:numFmt w:val="decimal"/>
      <w:lvlText w:val="%7."/>
      <w:lvlJc w:val="left"/>
      <w:pPr>
        <w:ind w:left="5040" w:hanging="360"/>
      </w:pPr>
    </w:lvl>
    <w:lvl w:ilvl="7" w:tplc="61240274" w:tentative="1">
      <w:start w:val="1"/>
      <w:numFmt w:val="lowerLetter"/>
      <w:lvlText w:val="%8."/>
      <w:lvlJc w:val="left"/>
      <w:pPr>
        <w:ind w:left="5760" w:hanging="360"/>
      </w:pPr>
    </w:lvl>
    <w:lvl w:ilvl="8" w:tplc="73805BDA" w:tentative="1">
      <w:start w:val="1"/>
      <w:numFmt w:val="lowerRoman"/>
      <w:lvlText w:val="%9."/>
      <w:lvlJc w:val="right"/>
      <w:pPr>
        <w:ind w:left="6480" w:hanging="180"/>
      </w:pPr>
    </w:lvl>
  </w:abstractNum>
  <w:abstractNum w:abstractNumId="16" w15:restartNumberingAfterBreak="0">
    <w:nsid w:val="70CA4D2C"/>
    <w:multiLevelType w:val="hybridMultilevel"/>
    <w:tmpl w:val="FBD4B2D0"/>
    <w:lvl w:ilvl="0" w:tplc="8C4E04F4">
      <w:start w:val="1"/>
      <w:numFmt w:val="bullet"/>
      <w:lvlText w:val=""/>
      <w:lvlJc w:val="left"/>
      <w:pPr>
        <w:ind w:left="720" w:hanging="360"/>
      </w:pPr>
      <w:rPr>
        <w:rFonts w:ascii="Symbol" w:hAnsi="Symbol" w:hint="default"/>
      </w:rPr>
    </w:lvl>
    <w:lvl w:ilvl="1" w:tplc="696265F4" w:tentative="1">
      <w:start w:val="1"/>
      <w:numFmt w:val="bullet"/>
      <w:lvlText w:val="o"/>
      <w:lvlJc w:val="left"/>
      <w:pPr>
        <w:ind w:left="1440" w:hanging="360"/>
      </w:pPr>
      <w:rPr>
        <w:rFonts w:ascii="Courier New" w:hAnsi="Courier New" w:cs="Courier New" w:hint="default"/>
      </w:rPr>
    </w:lvl>
    <w:lvl w:ilvl="2" w:tplc="B0BE027C" w:tentative="1">
      <w:start w:val="1"/>
      <w:numFmt w:val="bullet"/>
      <w:lvlText w:val=""/>
      <w:lvlJc w:val="left"/>
      <w:pPr>
        <w:ind w:left="2160" w:hanging="360"/>
      </w:pPr>
      <w:rPr>
        <w:rFonts w:ascii="Wingdings" w:hAnsi="Wingdings" w:hint="default"/>
      </w:rPr>
    </w:lvl>
    <w:lvl w:ilvl="3" w:tplc="998ADE8C" w:tentative="1">
      <w:start w:val="1"/>
      <w:numFmt w:val="bullet"/>
      <w:lvlText w:val=""/>
      <w:lvlJc w:val="left"/>
      <w:pPr>
        <w:ind w:left="2880" w:hanging="360"/>
      </w:pPr>
      <w:rPr>
        <w:rFonts w:ascii="Symbol" w:hAnsi="Symbol" w:hint="default"/>
      </w:rPr>
    </w:lvl>
    <w:lvl w:ilvl="4" w:tplc="229AC0B8" w:tentative="1">
      <w:start w:val="1"/>
      <w:numFmt w:val="bullet"/>
      <w:lvlText w:val="o"/>
      <w:lvlJc w:val="left"/>
      <w:pPr>
        <w:ind w:left="3600" w:hanging="360"/>
      </w:pPr>
      <w:rPr>
        <w:rFonts w:ascii="Courier New" w:hAnsi="Courier New" w:cs="Courier New" w:hint="default"/>
      </w:rPr>
    </w:lvl>
    <w:lvl w:ilvl="5" w:tplc="D62CFD10" w:tentative="1">
      <w:start w:val="1"/>
      <w:numFmt w:val="bullet"/>
      <w:lvlText w:val=""/>
      <w:lvlJc w:val="left"/>
      <w:pPr>
        <w:ind w:left="4320" w:hanging="360"/>
      </w:pPr>
      <w:rPr>
        <w:rFonts w:ascii="Wingdings" w:hAnsi="Wingdings" w:hint="default"/>
      </w:rPr>
    </w:lvl>
    <w:lvl w:ilvl="6" w:tplc="E37824CE" w:tentative="1">
      <w:start w:val="1"/>
      <w:numFmt w:val="bullet"/>
      <w:lvlText w:val=""/>
      <w:lvlJc w:val="left"/>
      <w:pPr>
        <w:ind w:left="5040" w:hanging="360"/>
      </w:pPr>
      <w:rPr>
        <w:rFonts w:ascii="Symbol" w:hAnsi="Symbol" w:hint="default"/>
      </w:rPr>
    </w:lvl>
    <w:lvl w:ilvl="7" w:tplc="43C8B39A" w:tentative="1">
      <w:start w:val="1"/>
      <w:numFmt w:val="bullet"/>
      <w:lvlText w:val="o"/>
      <w:lvlJc w:val="left"/>
      <w:pPr>
        <w:ind w:left="5760" w:hanging="360"/>
      </w:pPr>
      <w:rPr>
        <w:rFonts w:ascii="Courier New" w:hAnsi="Courier New" w:cs="Courier New" w:hint="default"/>
      </w:rPr>
    </w:lvl>
    <w:lvl w:ilvl="8" w:tplc="B5AAC400" w:tentative="1">
      <w:start w:val="1"/>
      <w:numFmt w:val="bullet"/>
      <w:lvlText w:val=""/>
      <w:lvlJc w:val="left"/>
      <w:pPr>
        <w:ind w:left="6480" w:hanging="360"/>
      </w:pPr>
      <w:rPr>
        <w:rFonts w:ascii="Wingdings" w:hAnsi="Wingdings" w:hint="default"/>
      </w:rPr>
    </w:lvl>
  </w:abstractNum>
  <w:abstractNum w:abstractNumId="17" w15:restartNumberingAfterBreak="0">
    <w:nsid w:val="75DD0325"/>
    <w:multiLevelType w:val="hybridMultilevel"/>
    <w:tmpl w:val="CD0AADBA"/>
    <w:lvl w:ilvl="0" w:tplc="54721C32">
      <w:start w:val="1"/>
      <w:numFmt w:val="decimal"/>
      <w:lvlText w:val="%1."/>
      <w:lvlJc w:val="left"/>
      <w:pPr>
        <w:ind w:left="720" w:hanging="360"/>
      </w:pPr>
    </w:lvl>
    <w:lvl w:ilvl="1" w:tplc="30545314" w:tentative="1">
      <w:start w:val="1"/>
      <w:numFmt w:val="lowerLetter"/>
      <w:lvlText w:val="%2."/>
      <w:lvlJc w:val="left"/>
      <w:pPr>
        <w:ind w:left="1440" w:hanging="360"/>
      </w:pPr>
    </w:lvl>
    <w:lvl w:ilvl="2" w:tplc="77CC33DE" w:tentative="1">
      <w:start w:val="1"/>
      <w:numFmt w:val="lowerRoman"/>
      <w:lvlText w:val="%3."/>
      <w:lvlJc w:val="right"/>
      <w:pPr>
        <w:ind w:left="2160" w:hanging="180"/>
      </w:pPr>
    </w:lvl>
    <w:lvl w:ilvl="3" w:tplc="2BD87054" w:tentative="1">
      <w:start w:val="1"/>
      <w:numFmt w:val="decimal"/>
      <w:lvlText w:val="%4."/>
      <w:lvlJc w:val="left"/>
      <w:pPr>
        <w:ind w:left="2880" w:hanging="360"/>
      </w:pPr>
    </w:lvl>
    <w:lvl w:ilvl="4" w:tplc="E2E4F752" w:tentative="1">
      <w:start w:val="1"/>
      <w:numFmt w:val="lowerLetter"/>
      <w:lvlText w:val="%5."/>
      <w:lvlJc w:val="left"/>
      <w:pPr>
        <w:ind w:left="3600" w:hanging="360"/>
      </w:pPr>
    </w:lvl>
    <w:lvl w:ilvl="5" w:tplc="9F60B68A" w:tentative="1">
      <w:start w:val="1"/>
      <w:numFmt w:val="lowerRoman"/>
      <w:lvlText w:val="%6."/>
      <w:lvlJc w:val="right"/>
      <w:pPr>
        <w:ind w:left="4320" w:hanging="180"/>
      </w:pPr>
    </w:lvl>
    <w:lvl w:ilvl="6" w:tplc="41747E58" w:tentative="1">
      <w:start w:val="1"/>
      <w:numFmt w:val="decimal"/>
      <w:lvlText w:val="%7."/>
      <w:lvlJc w:val="left"/>
      <w:pPr>
        <w:ind w:left="5040" w:hanging="360"/>
      </w:pPr>
    </w:lvl>
    <w:lvl w:ilvl="7" w:tplc="92CE8B60" w:tentative="1">
      <w:start w:val="1"/>
      <w:numFmt w:val="lowerLetter"/>
      <w:lvlText w:val="%8."/>
      <w:lvlJc w:val="left"/>
      <w:pPr>
        <w:ind w:left="5760" w:hanging="360"/>
      </w:pPr>
    </w:lvl>
    <w:lvl w:ilvl="8" w:tplc="74CE6F60" w:tentative="1">
      <w:start w:val="1"/>
      <w:numFmt w:val="lowerRoman"/>
      <w:lvlText w:val="%9."/>
      <w:lvlJc w:val="right"/>
      <w:pPr>
        <w:ind w:left="6480" w:hanging="180"/>
      </w:pPr>
    </w:lvl>
  </w:abstractNum>
  <w:abstractNum w:abstractNumId="18" w15:restartNumberingAfterBreak="0">
    <w:nsid w:val="7FF769C9"/>
    <w:multiLevelType w:val="hybridMultilevel"/>
    <w:tmpl w:val="A64C4B74"/>
    <w:lvl w:ilvl="0" w:tplc="95B85266">
      <w:start w:val="1"/>
      <w:numFmt w:val="bullet"/>
      <w:lvlText w:val=""/>
      <w:lvlJc w:val="left"/>
      <w:pPr>
        <w:ind w:left="720" w:hanging="360"/>
      </w:pPr>
      <w:rPr>
        <w:rFonts w:ascii="Symbol" w:hAnsi="Symbol" w:hint="default"/>
      </w:rPr>
    </w:lvl>
    <w:lvl w:ilvl="1" w:tplc="96F00F74" w:tentative="1">
      <w:start w:val="1"/>
      <w:numFmt w:val="bullet"/>
      <w:lvlText w:val="o"/>
      <w:lvlJc w:val="left"/>
      <w:pPr>
        <w:ind w:left="1440" w:hanging="360"/>
      </w:pPr>
      <w:rPr>
        <w:rFonts w:ascii="Courier New" w:hAnsi="Courier New" w:cs="Courier New" w:hint="default"/>
      </w:rPr>
    </w:lvl>
    <w:lvl w:ilvl="2" w:tplc="560EC26A" w:tentative="1">
      <w:start w:val="1"/>
      <w:numFmt w:val="bullet"/>
      <w:lvlText w:val=""/>
      <w:lvlJc w:val="left"/>
      <w:pPr>
        <w:ind w:left="2160" w:hanging="360"/>
      </w:pPr>
      <w:rPr>
        <w:rFonts w:ascii="Wingdings" w:hAnsi="Wingdings" w:hint="default"/>
      </w:rPr>
    </w:lvl>
    <w:lvl w:ilvl="3" w:tplc="11E62AB2" w:tentative="1">
      <w:start w:val="1"/>
      <w:numFmt w:val="bullet"/>
      <w:lvlText w:val=""/>
      <w:lvlJc w:val="left"/>
      <w:pPr>
        <w:ind w:left="2880" w:hanging="360"/>
      </w:pPr>
      <w:rPr>
        <w:rFonts w:ascii="Symbol" w:hAnsi="Symbol" w:hint="default"/>
      </w:rPr>
    </w:lvl>
    <w:lvl w:ilvl="4" w:tplc="3B72E338" w:tentative="1">
      <w:start w:val="1"/>
      <w:numFmt w:val="bullet"/>
      <w:lvlText w:val="o"/>
      <w:lvlJc w:val="left"/>
      <w:pPr>
        <w:ind w:left="3600" w:hanging="360"/>
      </w:pPr>
      <w:rPr>
        <w:rFonts w:ascii="Courier New" w:hAnsi="Courier New" w:cs="Courier New" w:hint="default"/>
      </w:rPr>
    </w:lvl>
    <w:lvl w:ilvl="5" w:tplc="5EC2902E" w:tentative="1">
      <w:start w:val="1"/>
      <w:numFmt w:val="bullet"/>
      <w:lvlText w:val=""/>
      <w:lvlJc w:val="left"/>
      <w:pPr>
        <w:ind w:left="4320" w:hanging="360"/>
      </w:pPr>
      <w:rPr>
        <w:rFonts w:ascii="Wingdings" w:hAnsi="Wingdings" w:hint="default"/>
      </w:rPr>
    </w:lvl>
    <w:lvl w:ilvl="6" w:tplc="BA0CD3B6" w:tentative="1">
      <w:start w:val="1"/>
      <w:numFmt w:val="bullet"/>
      <w:lvlText w:val=""/>
      <w:lvlJc w:val="left"/>
      <w:pPr>
        <w:ind w:left="5040" w:hanging="360"/>
      </w:pPr>
      <w:rPr>
        <w:rFonts w:ascii="Symbol" w:hAnsi="Symbol" w:hint="default"/>
      </w:rPr>
    </w:lvl>
    <w:lvl w:ilvl="7" w:tplc="84AE8AF8" w:tentative="1">
      <w:start w:val="1"/>
      <w:numFmt w:val="bullet"/>
      <w:lvlText w:val="o"/>
      <w:lvlJc w:val="left"/>
      <w:pPr>
        <w:ind w:left="5760" w:hanging="360"/>
      </w:pPr>
      <w:rPr>
        <w:rFonts w:ascii="Courier New" w:hAnsi="Courier New" w:cs="Courier New" w:hint="default"/>
      </w:rPr>
    </w:lvl>
    <w:lvl w:ilvl="8" w:tplc="CB0407DC"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1"/>
  </w:num>
  <w:num w:numId="5">
    <w:abstractNumId w:val="18"/>
  </w:num>
  <w:num w:numId="6">
    <w:abstractNumId w:val="10"/>
  </w:num>
  <w:num w:numId="7">
    <w:abstractNumId w:val="7"/>
  </w:num>
  <w:num w:numId="8">
    <w:abstractNumId w:val="2"/>
  </w:num>
  <w:num w:numId="9">
    <w:abstractNumId w:val="15"/>
  </w:num>
  <w:num w:numId="10">
    <w:abstractNumId w:val="12"/>
  </w:num>
  <w:num w:numId="11">
    <w:abstractNumId w:val="14"/>
  </w:num>
  <w:num w:numId="12">
    <w:abstractNumId w:val="6"/>
  </w:num>
  <w:num w:numId="13">
    <w:abstractNumId w:val="13"/>
  </w:num>
  <w:num w:numId="14">
    <w:abstractNumId w:val="3"/>
  </w:num>
  <w:num w:numId="15">
    <w:abstractNumId w:val="8"/>
  </w:num>
  <w:num w:numId="16">
    <w:abstractNumId w:val="16"/>
  </w:num>
  <w:num w:numId="17">
    <w:abstractNumId w:val="11"/>
  </w:num>
  <w:num w:numId="18">
    <w:abstractNumId w:val="4"/>
  </w:num>
  <w:num w:numId="19">
    <w:abstractNumId w:val="4"/>
  </w:num>
  <w:num w:numId="20">
    <w:abstractNumId w:val="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C1"/>
    <w:rsid w:val="0084045D"/>
    <w:rsid w:val="00F2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236B"/>
  <w15:docId w15:val="{2225D61B-CF2A-4B62-8C30-6A607E6E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83"/>
    <w:pPr>
      <w:spacing w:after="200" w:line="276" w:lineRule="auto"/>
    </w:pPr>
  </w:style>
  <w:style w:type="paragraph" w:styleId="Heading1">
    <w:name w:val="heading 1"/>
    <w:basedOn w:val="Normal"/>
    <w:next w:val="Normal"/>
    <w:link w:val="Heading1Char"/>
    <w:qFormat/>
    <w:rsid w:val="00846783"/>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8467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4678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783"/>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rsid w:val="008467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46783"/>
    <w:rPr>
      <w:rFonts w:ascii="CG Omega" w:eastAsia="Times New Roman" w:hAnsi="CG Omega" w:cs="Times New Roman"/>
      <w:b/>
      <w:szCs w:val="20"/>
    </w:rPr>
  </w:style>
  <w:style w:type="paragraph" w:styleId="ListParagraph">
    <w:name w:val="List Paragraph"/>
    <w:basedOn w:val="Normal"/>
    <w:link w:val="ListParagraphChar"/>
    <w:uiPriority w:val="34"/>
    <w:qFormat/>
    <w:rsid w:val="00846783"/>
    <w:pPr>
      <w:ind w:left="720"/>
      <w:contextualSpacing/>
    </w:pPr>
  </w:style>
  <w:style w:type="character" w:customStyle="1" w:styleId="Fontsize">
    <w:name w:val="Font &amp; size"/>
    <w:basedOn w:val="DefaultParagraphFont"/>
    <w:rsid w:val="00846783"/>
    <w:rPr>
      <w:rFonts w:ascii="CG Omega" w:hAnsi="CG Omega"/>
      <w:sz w:val="22"/>
    </w:rPr>
  </w:style>
  <w:style w:type="paragraph" w:styleId="Title">
    <w:name w:val="Title"/>
    <w:basedOn w:val="Normal"/>
    <w:link w:val="TitleChar"/>
    <w:qFormat/>
    <w:rsid w:val="0084678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4678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4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83"/>
  </w:style>
  <w:style w:type="paragraph" w:styleId="Footer">
    <w:name w:val="footer"/>
    <w:basedOn w:val="Normal"/>
    <w:link w:val="FooterChar"/>
    <w:uiPriority w:val="99"/>
    <w:unhideWhenUsed/>
    <w:rsid w:val="0084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83"/>
  </w:style>
  <w:style w:type="paragraph" w:styleId="BalloonText">
    <w:name w:val="Balloon Text"/>
    <w:basedOn w:val="Normal"/>
    <w:link w:val="BalloonTextChar"/>
    <w:uiPriority w:val="99"/>
    <w:semiHidden/>
    <w:unhideWhenUsed/>
    <w:rsid w:val="0084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83"/>
    <w:rPr>
      <w:rFonts w:ascii="Tahoma" w:hAnsi="Tahoma" w:cs="Tahoma"/>
      <w:sz w:val="16"/>
      <w:szCs w:val="16"/>
    </w:rPr>
  </w:style>
  <w:style w:type="character" w:customStyle="1" w:styleId="subparatext">
    <w:name w:val="subparatext"/>
    <w:basedOn w:val="DefaultParagraphFont"/>
    <w:uiPriority w:val="99"/>
    <w:rsid w:val="00846783"/>
    <w:rPr>
      <w:rFonts w:cs="Times New Roman"/>
    </w:rPr>
  </w:style>
  <w:style w:type="paragraph" w:customStyle="1" w:styleId="Default">
    <w:name w:val="Default"/>
    <w:rsid w:val="00846783"/>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reb">
    <w:name w:val="treb"/>
    <w:basedOn w:val="ListParagraph"/>
    <w:link w:val="trebChar"/>
    <w:qFormat/>
    <w:rsid w:val="00846783"/>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846783"/>
  </w:style>
  <w:style w:type="character" w:customStyle="1" w:styleId="trebChar">
    <w:name w:val="treb Char"/>
    <w:basedOn w:val="ListParagraphChar"/>
    <w:link w:val="treb"/>
    <w:rsid w:val="00846783"/>
    <w:rPr>
      <w:rFonts w:ascii="Trebuchet MS" w:hAnsi="Trebuchet MS" w:cs="Arial"/>
      <w:b/>
      <w:bCs/>
    </w:rPr>
  </w:style>
  <w:style w:type="table" w:styleId="TableGrid">
    <w:name w:val="Table Grid"/>
    <w:basedOn w:val="TableNormal"/>
    <w:rsid w:val="0084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783"/>
    <w:rPr>
      <w:color w:val="0563C1" w:themeColor="hyperlink"/>
      <w:u w:val="single"/>
    </w:rPr>
  </w:style>
  <w:style w:type="paragraph" w:styleId="BodyText">
    <w:name w:val="Body Text"/>
    <w:basedOn w:val="Normal"/>
    <w:link w:val="BodyTextChar"/>
    <w:semiHidden/>
    <w:unhideWhenUsed/>
    <w:rsid w:val="0084678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846783"/>
    <w:rPr>
      <w:rFonts w:ascii="Palatino" w:eastAsia="Times New Roman" w:hAnsi="Palatino" w:cs="Times New Roman"/>
      <w:sz w:val="20"/>
      <w:szCs w:val="20"/>
    </w:rPr>
  </w:style>
  <w:style w:type="character" w:customStyle="1" w:styleId="st1">
    <w:name w:val="st1"/>
    <w:basedOn w:val="DefaultParagraphFont"/>
    <w:rsid w:val="00846783"/>
  </w:style>
  <w:style w:type="character" w:styleId="Emphasis">
    <w:name w:val="Emphasis"/>
    <w:basedOn w:val="DefaultParagraphFont"/>
    <w:uiPriority w:val="20"/>
    <w:qFormat/>
    <w:rsid w:val="00846783"/>
    <w:rPr>
      <w:b/>
      <w:bCs/>
      <w:i w:val="0"/>
      <w:iCs w:val="0"/>
    </w:rPr>
  </w:style>
  <w:style w:type="character" w:styleId="FollowedHyperlink">
    <w:name w:val="FollowedHyperlink"/>
    <w:basedOn w:val="DefaultParagraphFont"/>
    <w:uiPriority w:val="99"/>
    <w:semiHidden/>
    <w:unhideWhenUsed/>
    <w:rsid w:val="00846783"/>
    <w:rPr>
      <w:color w:val="954F72" w:themeColor="followedHyperlink"/>
      <w:u w:val="single"/>
    </w:rPr>
  </w:style>
  <w:style w:type="paragraph" w:styleId="NormalWeb">
    <w:name w:val="Normal (Web)"/>
    <w:basedOn w:val="Normal"/>
    <w:uiPriority w:val="99"/>
    <w:unhideWhenUsed/>
    <w:rsid w:val="00846783"/>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6783"/>
    <w:rPr>
      <w:sz w:val="16"/>
      <w:szCs w:val="16"/>
    </w:rPr>
  </w:style>
  <w:style w:type="paragraph" w:styleId="CommentText">
    <w:name w:val="annotation text"/>
    <w:basedOn w:val="Normal"/>
    <w:link w:val="CommentTextChar"/>
    <w:uiPriority w:val="99"/>
    <w:semiHidden/>
    <w:unhideWhenUsed/>
    <w:rsid w:val="00846783"/>
    <w:pPr>
      <w:spacing w:line="240" w:lineRule="auto"/>
    </w:pPr>
    <w:rPr>
      <w:sz w:val="20"/>
      <w:szCs w:val="20"/>
    </w:rPr>
  </w:style>
  <w:style w:type="character" w:customStyle="1" w:styleId="CommentTextChar">
    <w:name w:val="Comment Text Char"/>
    <w:basedOn w:val="DefaultParagraphFont"/>
    <w:link w:val="CommentText"/>
    <w:uiPriority w:val="99"/>
    <w:semiHidden/>
    <w:rsid w:val="00846783"/>
    <w:rPr>
      <w:sz w:val="20"/>
      <w:szCs w:val="20"/>
    </w:rPr>
  </w:style>
  <w:style w:type="paragraph" w:styleId="CommentSubject">
    <w:name w:val="annotation subject"/>
    <w:basedOn w:val="CommentText"/>
    <w:next w:val="CommentText"/>
    <w:link w:val="CommentSubjectChar"/>
    <w:uiPriority w:val="99"/>
    <w:semiHidden/>
    <w:unhideWhenUsed/>
    <w:rsid w:val="00846783"/>
    <w:rPr>
      <w:b/>
      <w:bCs/>
    </w:rPr>
  </w:style>
  <w:style w:type="character" w:customStyle="1" w:styleId="CommentSubjectChar">
    <w:name w:val="Comment Subject Char"/>
    <w:basedOn w:val="CommentTextChar"/>
    <w:link w:val="CommentSubject"/>
    <w:uiPriority w:val="99"/>
    <w:semiHidden/>
    <w:rsid w:val="00846783"/>
    <w:rPr>
      <w:b/>
      <w:bCs/>
      <w:sz w:val="20"/>
      <w:szCs w:val="20"/>
    </w:rPr>
  </w:style>
  <w:style w:type="character" w:customStyle="1" w:styleId="UnresolvedMention">
    <w:name w:val="Unresolved Mention"/>
    <w:basedOn w:val="DefaultParagraphFont"/>
    <w:uiPriority w:val="99"/>
    <w:semiHidden/>
    <w:unhideWhenUsed/>
    <w:rsid w:val="00846783"/>
    <w:rPr>
      <w:color w:val="808080"/>
      <w:shd w:val="clear" w:color="auto" w:fill="E6E6E6"/>
    </w:rPr>
  </w:style>
  <w:style w:type="character" w:customStyle="1" w:styleId="BodyCopyChar">
    <w:name w:val="Body Copy Char"/>
    <w:basedOn w:val="DefaultParagraphFont"/>
    <w:link w:val="BodyCopy"/>
    <w:locked/>
    <w:rsid w:val="00846783"/>
    <w:rPr>
      <w:rFonts w:ascii="BentonSans Book" w:hAnsi="BentonSans Book"/>
    </w:rPr>
  </w:style>
  <w:style w:type="paragraph" w:customStyle="1" w:styleId="BodyCopy">
    <w:name w:val="Body Copy"/>
    <w:basedOn w:val="Normal"/>
    <w:link w:val="BodyCopyChar"/>
    <w:rsid w:val="00846783"/>
    <w:pPr>
      <w:spacing w:after="0" w:line="280" w:lineRule="atLeast"/>
    </w:pPr>
    <w:rPr>
      <w:rFonts w:ascii="BentonSans Book" w:hAnsi="BentonSans Book"/>
    </w:rPr>
  </w:style>
  <w:style w:type="character" w:customStyle="1" w:styleId="geninfoval1">
    <w:name w:val="geninfoval1"/>
    <w:basedOn w:val="DefaultParagraphFont"/>
    <w:rsid w:val="00846783"/>
    <w:rPr>
      <w:sz w:val="18"/>
      <w:szCs w:val="18"/>
    </w:rPr>
  </w:style>
  <w:style w:type="paragraph" w:customStyle="1" w:styleId="LPPBodytext">
    <w:name w:val="LPP Body text"/>
    <w:basedOn w:val="Normal"/>
    <w:link w:val="LPPBodytextChar"/>
    <w:qFormat/>
    <w:rsid w:val="00846783"/>
    <w:pPr>
      <w:numPr>
        <w:numId w:val="6"/>
      </w:numPr>
      <w:tabs>
        <w:tab w:val="left" w:pos="1843"/>
        <w:tab w:val="left" w:pos="3119"/>
        <w:tab w:val="left" w:pos="4253"/>
      </w:tabs>
      <w:spacing w:after="0" w:line="280" w:lineRule="exact"/>
      <w:jc w:val="both"/>
    </w:pPr>
    <w:rPr>
      <w:rFonts w:ascii="Verdana" w:eastAsia="Times New Roman" w:hAnsi="Verdana" w:cs="Times New Roman"/>
      <w:spacing w:val="-6"/>
      <w:sz w:val="20"/>
      <w:szCs w:val="18"/>
      <w:lang w:val="en-US" w:eastAsia="zh-CN"/>
    </w:rPr>
  </w:style>
  <w:style w:type="character" w:customStyle="1" w:styleId="LPPBodytextChar">
    <w:name w:val="LPP Body text Char"/>
    <w:basedOn w:val="DefaultParagraphFont"/>
    <w:link w:val="LPPBodytext"/>
    <w:rsid w:val="00846783"/>
    <w:rPr>
      <w:rFonts w:ascii="Verdana" w:eastAsia="Times New Roman" w:hAnsi="Verdana" w:cs="Times New Roman"/>
      <w:spacing w:val="-6"/>
      <w:sz w:val="20"/>
      <w:szCs w:val="18"/>
      <w:lang w:val="en-US" w:eastAsia="zh-CN"/>
    </w:rPr>
  </w:style>
  <w:style w:type="character" w:styleId="Strong">
    <w:name w:val="Strong"/>
    <w:basedOn w:val="DefaultParagraphFont"/>
    <w:uiPriority w:val="22"/>
    <w:qFormat/>
    <w:rsid w:val="0084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c.org.uk/getattachment/5aae591d-d9d3-4cf4-814a-d14e156a1d87/Stewardship-Code_Dec-19-Final-Corrected.pdf" TargetMode="External"/><Relationship Id="rId3" Type="http://schemas.openxmlformats.org/officeDocument/2006/relationships/settings" Target="settings.xml"/><Relationship Id="rId7" Type="http://schemas.openxmlformats.org/officeDocument/2006/relationships/hyperlink" Target="mailto:frances.deakin@localpensionspartnership.org.uk" TargetMode="External"/><Relationship Id="rId12" Type="http://schemas.openxmlformats.org/officeDocument/2006/relationships/hyperlink" Target="https://www.glil.co.uk/assets/Press-release-Cubico-sells-minority-stake-in-UK-wind-and-solar-portfolio-to-GLIL-Infrastructure-00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pfforum.org/publications/qrtly-engagement-repor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ocalpensionspartnership.org.uk/News-and-views/details/LPP-partners-with-Robeco-to-support-engagement-activity-for-Global-Equities-Portfolio"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Britton</dc:creator>
  <cp:lastModifiedBy>Neville, Mike</cp:lastModifiedBy>
  <cp:revision>7</cp:revision>
  <dcterms:created xsi:type="dcterms:W3CDTF">2020-02-14T10:53:00Z</dcterms:created>
  <dcterms:modified xsi:type="dcterms:W3CDTF">2020-02-21T12:02:00Z</dcterms:modified>
</cp:coreProperties>
</file>